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embeddings/_____Microsoft_Excel.xlsx" ContentType="application/vnd.openxmlformats-officedocument.spreadsheetml.sheet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charts/_rels/chart1.xml.rels" ContentType="application/vnd.openxmlformats-package.relationships+xml"/>
  <Override PartName="/word/charts/chart1.xml" ContentType="application/vnd.openxmlformats-officedocument.drawingml.chart+xml"/>
  <Override PartName="/word/media/image1.png" ContentType="image/png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8"/>
          <w:tab w:val="left" w:pos="5680" w:leader="none"/>
        </w:tabs>
        <w:spacing w:lineRule="atLeast" w:line="240"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91681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                                                    </w:t>
      </w:r>
      <w:r>
        <w:rPr>
          <w:rFonts w:cs="Times New Roman,Bold" w:ascii="Times New Roman,Bold" w:hAnsi="Times New Roman,Bold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Аналитическая часть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С целью обеспечения доступности и открытости информации о деятельности организации в муниципальном дошкольном образовательном учреждении «Детский сад п. Белоярский Новобурасского района Саратовской области» составлен отчет по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результатам самообследования организации за 2023 календарный год.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Процедуру самообследования муниципального дошкольного образовательного учреждения «Детский сад п. Белоярский Новобурасского района Саратовской области» регулируют следующие нормативные документы: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• </w:t>
      </w:r>
      <w:r>
        <w:rPr>
          <w:rFonts w:cs="Times New Roman" w:ascii="Times New Roman" w:hAnsi="Times New Roman"/>
          <w:sz w:val="27"/>
          <w:szCs w:val="27"/>
        </w:rPr>
        <w:t>Федеральный закон «Об Образовании в Российской Федерации» от 29 декабря 2012 года № 273 -ФЗ (ст. 28 п.3,13 ст. 29 п. 3)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• </w:t>
      </w:r>
      <w:r>
        <w:rPr>
          <w:rFonts w:cs="Times New Roman" w:ascii="Times New Roman" w:hAnsi="Times New Roman"/>
          <w:sz w:val="27"/>
          <w:szCs w:val="27"/>
        </w:rPr>
        <w:t>Постановление правительства Российской Федерации № 582 от 10.07.2013г.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обновлении информации об образовательной организации»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• </w:t>
      </w:r>
      <w:r>
        <w:rPr>
          <w:rFonts w:cs="Times New Roman" w:ascii="Times New Roman" w:hAnsi="Times New Roman"/>
          <w:sz w:val="27"/>
          <w:szCs w:val="27"/>
        </w:rPr>
        <w:t>Приказ Рособрнадзора от 14.08.2020 № 831 «Об утверждении требований к структуре официального сайта образовательной организации в информационно- телекоммуникативной сети « Интернет и формату предоставления информации».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• </w:t>
      </w:r>
      <w:r>
        <w:rPr>
          <w:rFonts w:cs="Times New Roman" w:ascii="Times New Roman" w:hAnsi="Times New Roman"/>
          <w:sz w:val="27"/>
          <w:szCs w:val="27"/>
        </w:rPr>
        <w:t>Приказ Минобрнауки РФ от 14 июня 2013 г. № 462 г. Москва «Об утверждении Порядка проведения самообследования образовательной организацией».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• </w:t>
      </w:r>
      <w:r>
        <w:rPr>
          <w:rFonts w:cs="Times New Roman" w:ascii="Times New Roman" w:hAnsi="Times New Roman"/>
          <w:sz w:val="27"/>
          <w:szCs w:val="27"/>
        </w:rPr>
        <w:t>Приказ Минобрнауки РФ от10.12.2013 года №1324 «Об утверждении показателей деятельности образовательной организации, подлежащей самообследованию».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• </w:t>
      </w:r>
      <w:r>
        <w:rPr>
          <w:rFonts w:cs="Times New Roman" w:ascii="Times New Roman" w:hAnsi="Times New Roman"/>
          <w:sz w:val="27"/>
          <w:szCs w:val="27"/>
        </w:rPr>
        <w:t>Приказ о порядке подготовки и организации проведения самообследования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Информационная открытость образовательной организации определена ст. 29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Федерального закона от 29.12.2012г. № 273 ФЗ «об образовании в Российской Федерации» пунктом 3.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Правилами размещения на официальном сайте образовательной организации и информационно-телекоммуникативной сети «Интернет» и обновления информации об образовательной организации, утвержденных Постановлением правительства Российской Федерации от 10.07. 2013г. № 582.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Отчет о результатах самообследования МДОУ «Детский сад п. Белоярский» составлен комиссией в составе: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• </w:t>
      </w:r>
      <w:r>
        <w:rPr>
          <w:rFonts w:cs="Times New Roman" w:ascii="Times New Roman" w:hAnsi="Times New Roman"/>
          <w:sz w:val="27"/>
          <w:szCs w:val="27"/>
        </w:rPr>
        <w:t>Заведующий Латынцевой М.А.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• </w:t>
      </w:r>
      <w:r>
        <w:rPr>
          <w:rFonts w:cs="Times New Roman" w:ascii="Times New Roman" w:hAnsi="Times New Roman"/>
          <w:sz w:val="27"/>
          <w:szCs w:val="27"/>
        </w:rPr>
        <w:t>Воспитатель Антоненко Ф.Ж.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Фельдшер БВА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Цель самообследования: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Обеспечение доступности и открытости информации о состоянии развития учреждения на основе анализа показателей, установленных федеральным органом исполнительной власти, а также подготовка отчёта о результатах самообследования.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Задачи самообследования: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-получение объективной информации о состоянии образовательного процесса в образовательной организации;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-выявление положительных и отрицательных тенденций в образовательной деятельности;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-установление причин возникновения проблем и поиск их устранения.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В процессе самообследования проводится оценка: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— </w:t>
      </w:r>
      <w:r>
        <w:rPr>
          <w:rFonts w:cs="Times New Roman" w:ascii="Times New Roman" w:hAnsi="Times New Roman"/>
          <w:sz w:val="27"/>
          <w:szCs w:val="27"/>
        </w:rPr>
        <w:t>образовательной деятельности;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— </w:t>
      </w:r>
      <w:r>
        <w:rPr>
          <w:rFonts w:cs="Times New Roman" w:ascii="Times New Roman" w:hAnsi="Times New Roman"/>
          <w:sz w:val="27"/>
          <w:szCs w:val="27"/>
        </w:rPr>
        <w:t>системы управления организацией;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— </w:t>
      </w:r>
      <w:r>
        <w:rPr>
          <w:rFonts w:cs="Times New Roman" w:ascii="Times New Roman" w:hAnsi="Times New Roman"/>
          <w:sz w:val="27"/>
          <w:szCs w:val="27"/>
        </w:rPr>
        <w:t>содержания и качества образовательного процесса организации;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— </w:t>
      </w:r>
      <w:r>
        <w:rPr>
          <w:rFonts w:cs="Times New Roman" w:ascii="Times New Roman" w:hAnsi="Times New Roman"/>
          <w:sz w:val="27"/>
          <w:szCs w:val="27"/>
        </w:rPr>
        <w:t>качества кадрового, программно-методического обеспечения, материально- технической базы;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— </w:t>
      </w:r>
      <w:r>
        <w:rPr>
          <w:rFonts w:cs="Times New Roman" w:ascii="Times New Roman" w:hAnsi="Times New Roman"/>
          <w:sz w:val="27"/>
          <w:szCs w:val="27"/>
        </w:rPr>
        <w:t>функционирования внутренней системы оценки качества образования;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— </w:t>
      </w:r>
      <w:r>
        <w:rPr>
          <w:rFonts w:cs="Times New Roman" w:ascii="Times New Roman" w:hAnsi="Times New Roman"/>
          <w:sz w:val="27"/>
          <w:szCs w:val="27"/>
        </w:rPr>
        <w:t>функционирования внутренней системы качества образования;</w:t>
      </w:r>
    </w:p>
    <w:p>
      <w:pPr>
        <w:pStyle w:val="Normal"/>
        <w:tabs>
          <w:tab w:val="clear" w:pos="708"/>
          <w:tab w:val="left" w:pos="284" w:leader="none"/>
        </w:tabs>
        <w:spacing w:before="0" w:after="0"/>
        <w:ind w:left="360" w:hanging="0"/>
        <w:jc w:val="both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— </w:t>
      </w:r>
      <w:r>
        <w:rPr>
          <w:rFonts w:cs="Times New Roman" w:ascii="Times New Roman" w:hAnsi="Times New Roman"/>
          <w:sz w:val="27"/>
          <w:szCs w:val="27"/>
        </w:rPr>
        <w:t>анализ показателей деятельности учреждения, подлежащей самообследованию.</w:t>
      </w:r>
    </w:p>
    <w:p>
      <w:pPr>
        <w:pStyle w:val="Normal"/>
        <w:numPr>
          <w:ilvl w:val="0"/>
          <w:numId w:val="2"/>
        </w:numPr>
        <w:jc w:val="center"/>
        <w:rPr>
          <w:rFonts w:ascii="Times New Roman" w:hAnsi="Times New Roman" w:eastAsia="Calibri" w:cs="Times New Roman"/>
          <w:b/>
          <w:b/>
          <w:bCs/>
          <w:sz w:val="27"/>
          <w:szCs w:val="27"/>
        </w:rPr>
      </w:pPr>
      <w:r>
        <w:rPr>
          <w:rFonts w:eastAsia="Calibri" w:cs="Times New Roman" w:ascii="Times New Roman" w:hAnsi="Times New Roman"/>
          <w:b/>
          <w:bCs/>
          <w:sz w:val="27"/>
          <w:szCs w:val="27"/>
        </w:rPr>
        <w:t>Общие сведения об образовательной организации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622"/>
        <w:gridCol w:w="6582"/>
      </w:tblGrid>
      <w:tr>
        <w:trPr>
          <w:trHeight w:val="426" w:hRule="atLeast"/>
        </w:trPr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Наименование образовательной организации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Муниципальное  дошкольное образовательное учреждение «Детский сад п. Белоярский Новобурасского района Саратовской области»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(МДОУ «Детский сад п. Белоярский)</w:t>
            </w:r>
          </w:p>
        </w:tc>
      </w:tr>
      <w:tr>
        <w:trPr>
          <w:trHeight w:val="729" w:hRule="atLeast"/>
        </w:trPr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7"/>
                <w:szCs w:val="27"/>
              </w:rPr>
              <w:t>Организационно-правовая форма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Образовательное учреждение</w:t>
            </w:r>
          </w:p>
        </w:tc>
      </w:tr>
      <w:tr>
        <w:trPr>
          <w:trHeight w:val="462" w:hRule="atLeast"/>
        </w:trPr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0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7"/>
                <w:szCs w:val="27"/>
              </w:rPr>
              <w:t>Тип учреждения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Муниципальное бюджетное учреждение</w:t>
            </w:r>
          </w:p>
        </w:tc>
      </w:tr>
      <w:tr>
        <w:trPr>
          <w:trHeight w:val="490" w:hRule="atLeast"/>
        </w:trPr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0"/>
              <w:rPr>
                <w:rFonts w:ascii="Times New Roman" w:hAnsi="Times New Roman" w:cs="Times New Roman"/>
                <w:b/>
                <w:b/>
                <w:bCs/>
                <w:color w:val="000000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Учредитель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Style w:val="Style16"/>
                <w:rFonts w:eastAsia="" w:ascii="Times New Roman" w:hAnsi="Times New Roman" w:eastAsiaTheme="minorEastAsia"/>
                <w:sz w:val="27"/>
                <w:szCs w:val="27"/>
              </w:rPr>
              <w:t>Администрация  Новобурасского муниципального района Саратовской области.</w:t>
            </w:r>
          </w:p>
        </w:tc>
      </w:tr>
      <w:tr>
        <w:trPr>
          <w:trHeight w:val="286" w:hRule="atLeast"/>
        </w:trPr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Год основания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Style w:val="Style16"/>
                <w:rFonts w:ascii="Times New Roman" w:hAnsi="Times New Roman" w:eastAsia="" w:eastAsiaTheme="minorEastAsia"/>
                <w:sz w:val="27"/>
                <w:szCs w:val="27"/>
              </w:rPr>
            </w:pPr>
            <w:r>
              <w:rPr>
                <w:rStyle w:val="Style16"/>
                <w:rFonts w:eastAsia="" w:ascii="Times New Roman" w:hAnsi="Times New Roman" w:eastAsiaTheme="minorEastAsia"/>
                <w:sz w:val="27"/>
                <w:szCs w:val="27"/>
              </w:rPr>
              <w:t>1967год</w:t>
            </w:r>
          </w:p>
        </w:tc>
      </w:tr>
      <w:tr>
        <w:trPr>
          <w:trHeight w:val="633" w:hRule="atLeast"/>
        </w:trPr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Юридический адрес организации</w:t>
            </w:r>
          </w:p>
          <w:p>
            <w:pPr>
              <w:pStyle w:val="Normal"/>
              <w:widowControl w:val="false"/>
              <w:spacing w:lineRule="auto" w:line="240" w:before="12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cs="Times New Roman" w:ascii="Times New Roman" w:hAnsi="Times New Roman"/>
                <w:color w:val="000000"/>
                <w:sz w:val="27"/>
                <w:szCs w:val="27"/>
              </w:rPr>
              <w:t>412561; Саратовская область, Новобурасский район ,п. Белоярский, ул. Радаева 2 А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Style w:val="Style16"/>
                <w:rFonts w:ascii="Times New Roman" w:hAnsi="Times New Roman" w:eastAsia="" w:eastAsiaTheme="minorEastAsia"/>
                <w:sz w:val="27"/>
                <w:szCs w:val="27"/>
              </w:rPr>
            </w:pPr>
            <w:r>
              <w:rPr>
                <w:rFonts w:eastAsia="" w:eastAsiaTheme="minorEastAsia" w:ascii="Times New Roman" w:hAnsi="Times New Roman"/>
                <w:sz w:val="27"/>
                <w:szCs w:val="27"/>
              </w:rPr>
            </w:r>
          </w:p>
        </w:tc>
      </w:tr>
      <w:tr>
        <w:trPr>
          <w:trHeight w:val="412" w:hRule="atLeast"/>
        </w:trPr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Телефон, факс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cs="Times New Roman" w:ascii="Times New Roman" w:hAnsi="Times New Roman"/>
                <w:color w:val="000000"/>
                <w:sz w:val="27"/>
                <w:szCs w:val="27"/>
              </w:rPr>
              <w:t>8-905-326-80-43</w:t>
            </w:r>
          </w:p>
        </w:tc>
      </w:tr>
      <w:tr>
        <w:trPr>
          <w:trHeight w:val="506" w:hRule="atLeast"/>
        </w:trPr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Адрес электронной почты</w:t>
            </w:r>
          </w:p>
          <w:p>
            <w:pPr>
              <w:pStyle w:val="Normal"/>
              <w:widowControl w:val="false"/>
              <w:spacing w:lineRule="auto" w:line="240" w:before="12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cs="Times New Roman" w:ascii="Times New Roman" w:hAnsi="Times New Roman"/>
                <w:color w:val="000000"/>
                <w:sz w:val="27"/>
                <w:szCs w:val="27"/>
                <w:lang w:val="en-US"/>
              </w:rPr>
              <w:t>mdou-belojar</w:t>
            </w:r>
            <w:r>
              <w:rPr>
                <w:rFonts w:cs="Times New Roman" w:ascii="Times New Roman" w:hAnsi="Times New Roman"/>
                <w:color w:val="000000"/>
                <w:sz w:val="27"/>
                <w:szCs w:val="27"/>
              </w:rPr>
              <w:t>@maiI.</w:t>
            </w:r>
            <w:r>
              <w:rPr>
                <w:rFonts w:cs="Times New Roman" w:ascii="Times New Roman" w:hAnsi="Times New Roman"/>
                <w:color w:val="000000"/>
                <w:sz w:val="27"/>
                <w:szCs w:val="27"/>
                <w:lang w:val="en-US"/>
              </w:rPr>
              <w:t>ru</w:t>
            </w:r>
          </w:p>
        </w:tc>
      </w:tr>
      <w:tr>
        <w:trPr>
          <w:trHeight w:val="353" w:hRule="atLeast"/>
        </w:trPr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tbl>
            <w:tblPr>
              <w:tblW w:w="3090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noVBand="0" w:val="0000" w:noHBand="0" w:lastColumn="0" w:firstColumn="0" w:lastRow="0" w:firstRow="0"/>
            </w:tblPr>
            <w:tblGrid>
              <w:gridCol w:w="3090"/>
            </w:tblGrid>
            <w:tr>
              <w:trPr>
                <w:trHeight w:val="152" w:hRule="atLeast"/>
              </w:trPr>
              <w:tc>
                <w:tcPr>
                  <w:tcW w:w="3090" w:type="dxa"/>
                  <w:tcBorders/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</w:pPr>
                  <w:r>
                    <w:rPr>
                      <w:rFonts w:cs="Times New Roman" w:ascii="Times New Roman" w:hAnsi="Times New Roman"/>
                      <w:bCs/>
                      <w:color w:val="000000"/>
                      <w:sz w:val="27"/>
                      <w:szCs w:val="27"/>
                    </w:rPr>
                    <w:t>Адрес сайта в Интернете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12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" w:tgtFrame="_blank">
              <w:r>
                <w:rPr>
                  <w:rFonts w:cs="Arial" w:ascii="Arial" w:hAnsi="Arial"/>
                  <w:color w:val="0000FF"/>
                  <w:sz w:val="23"/>
                  <w:szCs w:val="23"/>
                  <w:u w:val="single"/>
                  <w:shd w:fill="FFFFFF" w:val="clear"/>
                </w:rPr>
                <w:t>https://ds-beloyarskij-r64.gosweb.gosuslugi.ru/</w:t>
              </w:r>
            </w:hyperlink>
          </w:p>
        </w:tc>
      </w:tr>
      <w:tr>
        <w:trPr>
          <w:trHeight w:val="459" w:hRule="atLeast"/>
        </w:trPr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tbl>
            <w:tblPr>
              <w:tblW w:w="1883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noVBand="0" w:val="0000" w:noHBand="0" w:lastColumn="0" w:firstColumn="0" w:lastRow="0" w:firstRow="0"/>
            </w:tblPr>
            <w:tblGrid>
              <w:gridCol w:w="1883"/>
            </w:tblGrid>
            <w:tr>
              <w:trPr>
                <w:trHeight w:val="152" w:hRule="atLeast"/>
              </w:trPr>
              <w:tc>
                <w:tcPr>
                  <w:tcW w:w="1883" w:type="dxa"/>
                  <w:tcBorders/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rPr>
                      <w:rFonts w:ascii="Times New Roman" w:hAnsi="Times New Roman" w:cs="Times New Roman"/>
                      <w:bCs/>
                      <w:color w:val="000000"/>
                      <w:sz w:val="27"/>
                      <w:szCs w:val="27"/>
                    </w:rPr>
                  </w:pPr>
                  <w:r>
                    <w:rPr>
                      <w:rFonts w:cs="Times New Roman" w:ascii="Times New Roman" w:hAnsi="Times New Roman"/>
                      <w:bCs/>
                      <w:color w:val="000000"/>
                      <w:sz w:val="27"/>
                      <w:szCs w:val="27"/>
                    </w:rPr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rPr>
                      <w:rFonts w:ascii="Times New Roman" w:hAnsi="Times New Roman" w:cs="Times New Roman"/>
                      <w:bCs/>
                      <w:color w:val="000000"/>
                      <w:sz w:val="27"/>
                      <w:szCs w:val="27"/>
                    </w:rPr>
                  </w:pPr>
                  <w:r>
                    <w:rPr>
                      <w:rFonts w:cs="Times New Roman" w:ascii="Times New Roman" w:hAnsi="Times New Roman"/>
                      <w:bCs/>
                      <w:color w:val="000000"/>
                      <w:sz w:val="27"/>
                      <w:szCs w:val="27"/>
                    </w:rPr>
                    <w:t>Режим работы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120" w:after="0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7"/>
                <w:szCs w:val="27"/>
              </w:rPr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cs="Times New Roman" w:ascii="Times New Roman" w:hAnsi="Times New Roman"/>
                <w:color w:val="000000"/>
                <w:sz w:val="27"/>
                <w:szCs w:val="27"/>
              </w:rPr>
              <w:t>понедельник-пятница -9 часов (8.00 до 17.00),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cs="Times New Roman" w:ascii="Times New Roman" w:hAnsi="Times New Roman"/>
                <w:color w:val="000000"/>
                <w:sz w:val="27"/>
                <w:szCs w:val="27"/>
              </w:rPr>
              <w:t>выходные дни суббота, воскресенье, праздничные дни установленные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cs="Times New Roman" w:ascii="Times New Roman" w:hAnsi="Times New Roman"/>
                <w:color w:val="000000"/>
                <w:sz w:val="27"/>
                <w:szCs w:val="27"/>
              </w:rPr>
              <w:t>законодательством РФ.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cs="Times New Roman" w:ascii="Times New Roman" w:hAnsi="Times New Roman"/>
                <w:color w:val="000000"/>
                <w:sz w:val="27"/>
                <w:szCs w:val="27"/>
              </w:rPr>
            </w:r>
          </w:p>
        </w:tc>
      </w:tr>
      <w:tr>
        <w:trPr>
          <w:trHeight w:val="349" w:hRule="atLeast"/>
        </w:trPr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Должность руководителя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Заведующий</w:t>
            </w:r>
          </w:p>
        </w:tc>
      </w:tr>
      <w:tr>
        <w:trPr>
          <w:trHeight w:val="426" w:hRule="atLeast"/>
        </w:trPr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Фамилия, имя, отчество руководителя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  <w:lang w:val="en-US"/>
              </w:rPr>
              <w:t>Латынцева Марина Александровна</w:t>
            </w:r>
          </w:p>
        </w:tc>
      </w:tr>
      <w:tr>
        <w:trPr>
          <w:trHeight w:val="426" w:hRule="atLeast"/>
        </w:trPr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cs="Times New Roman" w:ascii="Times New Roman" w:hAnsi="Times New Roman"/>
                <w:color w:val="000000"/>
                <w:sz w:val="27"/>
                <w:szCs w:val="27"/>
              </w:rPr>
            </w:r>
          </w:p>
          <w:tbl>
            <w:tblPr>
              <w:tblW w:w="3483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noVBand="0" w:val="0000" w:noHBand="0" w:lastColumn="0" w:firstColumn="0" w:lastRow="0" w:firstRow="0"/>
            </w:tblPr>
            <w:tblGrid>
              <w:gridCol w:w="3483"/>
            </w:tblGrid>
            <w:tr>
              <w:trPr>
                <w:trHeight w:val="567" w:hRule="atLeast"/>
              </w:trPr>
              <w:tc>
                <w:tcPr>
                  <w:tcW w:w="3483" w:type="dxa"/>
                  <w:tcBorders/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</w:pPr>
                  <w:r>
                    <w:rPr>
                      <w:rFonts w:cs="Times New Roman" w:ascii="Times New Roman" w:hAnsi="Times New Roman"/>
                      <w:bCs/>
                      <w:color w:val="000000"/>
                      <w:sz w:val="27"/>
                      <w:szCs w:val="27"/>
                    </w:rPr>
                    <w:t>Лицензия на право осуществления образовательной деятельности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12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cs="Times New Roman" w:ascii="Times New Roman" w:hAnsi="Times New Roman"/>
                <w:color w:val="000000"/>
                <w:sz w:val="27"/>
                <w:szCs w:val="27"/>
              </w:rPr>
              <w:t>Лицензия № 759 от 24.01.2013г. на осуществление образовательной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cs="Times New Roman" w:ascii="Times New Roman" w:hAnsi="Times New Roman"/>
                <w:color w:val="000000"/>
                <w:sz w:val="27"/>
                <w:szCs w:val="27"/>
              </w:rPr>
              <w:t>деятельности серия 64Л01 № 0000380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</w:r>
          </w:p>
        </w:tc>
      </w:tr>
    </w:tbl>
    <w:p>
      <w:pPr>
        <w:pStyle w:val="Normal"/>
        <w:tabs>
          <w:tab w:val="clear" w:pos="708"/>
          <w:tab w:val="left" w:pos="284" w:leader="none"/>
        </w:tabs>
        <w:spacing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tabs>
          <w:tab w:val="clear" w:pos="708"/>
          <w:tab w:val="left" w:pos="284" w:leader="none"/>
        </w:tabs>
        <w:spacing w:before="0" w:after="0"/>
        <w:ind w:left="360" w:hanging="0"/>
        <w:jc w:val="center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>Муниципальное  дошкольное образовательное учреждение «Детский сад п. Белоярский Новобурасского района Саратовской области» (далее – МДОУ «Детский сад п. Белоярский») расположено в жилом районе п. Белоярский. Здание Детского сада построено по типовому проекту в 1967году. Проектная наполняемость на 55 мест. Общая площадь здания, из них площадь помещений 538,2 кв.м.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b/>
          <w:sz w:val="27"/>
          <w:szCs w:val="27"/>
        </w:rPr>
        <w:t>Цель деятельности МДОУ «Детский сад п. Белоярский»</w:t>
      </w:r>
      <w:r>
        <w:rPr>
          <w:rFonts w:eastAsia="Calibri" w:cs="Times New Roman" w:ascii="Times New Roman" w:hAnsi="Times New Roman"/>
          <w:sz w:val="27"/>
          <w:szCs w:val="27"/>
        </w:rPr>
        <w:t xml:space="preserve"> – осуществление образовательной деятельности по реализации образовательных программ дошкольного образования.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7"/>
          <w:szCs w:val="27"/>
        </w:rPr>
      </w:pPr>
      <w:r>
        <w:rPr>
          <w:rFonts w:eastAsia="Times New Roman" w:cs="Times New Roman" w:ascii="Times New Roman" w:hAnsi="Times New Roman"/>
          <w:b/>
          <w:sz w:val="27"/>
          <w:szCs w:val="27"/>
        </w:rPr>
        <w:t xml:space="preserve">Предметом деятельности </w:t>
      </w:r>
      <w:r>
        <w:rPr>
          <w:rFonts w:eastAsia="Calibri" w:cs="Times New Roman" w:ascii="Times New Roman" w:hAnsi="Times New Roman"/>
          <w:b/>
          <w:sz w:val="27"/>
          <w:szCs w:val="27"/>
        </w:rPr>
        <w:t>МДОУ «Детский сад п. Белоярский»</w:t>
      </w:r>
      <w:r>
        <w:rPr>
          <w:rFonts w:eastAsia="Calibri" w:cs="Times New Roman" w:ascii="Times New Roman" w:hAnsi="Times New Roman"/>
          <w:sz w:val="27"/>
          <w:szCs w:val="27"/>
        </w:rPr>
        <w:t xml:space="preserve"> </w:t>
      </w:r>
      <w:r>
        <w:rPr>
          <w:rFonts w:eastAsia="Times New Roman" w:cs="Times New Roman" w:ascii="Times New Roman" w:hAnsi="Times New Roman"/>
          <w:sz w:val="27"/>
          <w:szCs w:val="27"/>
        </w:rPr>
        <w:t xml:space="preserve">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>
      <w:pPr>
        <w:pStyle w:val="Normal"/>
        <w:widowControl w:val="false"/>
        <w:spacing w:lineRule="auto" w:line="240" w:before="120" w:after="0"/>
        <w:ind w:left="3119" w:hanging="0"/>
        <w:rPr>
          <w:rFonts w:ascii="Times New Roman" w:hAnsi="Times New Roman" w:eastAsia="Calibri" w:cs="Times New Roman"/>
          <w:b/>
          <w:b/>
          <w:sz w:val="27"/>
          <w:szCs w:val="27"/>
        </w:rPr>
      </w:pPr>
      <w:r>
        <w:rPr>
          <w:rFonts w:eastAsia="Calibri" w:cs="Times New Roman" w:ascii="Times New Roman" w:hAnsi="Times New Roman"/>
          <w:b/>
          <w:sz w:val="27"/>
          <w:szCs w:val="27"/>
        </w:rPr>
        <w:t>2.Система управления организации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 xml:space="preserve">Управление </w:t>
      </w:r>
      <w:r>
        <w:rPr>
          <w:rFonts w:eastAsia="Calibri" w:cs="Times New Roman" w:ascii="Times New Roman" w:hAnsi="Times New Roman"/>
          <w:b/>
          <w:sz w:val="27"/>
          <w:szCs w:val="27"/>
        </w:rPr>
        <w:t>МДОУ «Детский сад п. Белоярский»</w:t>
      </w:r>
      <w:r>
        <w:rPr>
          <w:rFonts w:eastAsia="Calibri" w:cs="Times New Roman" w:ascii="Times New Roman" w:hAnsi="Times New Roman"/>
          <w:sz w:val="27"/>
          <w:szCs w:val="27"/>
        </w:rPr>
        <w:t xml:space="preserve"> </w:t>
      </w:r>
      <w:r>
        <w:rPr>
          <w:rFonts w:eastAsia="Times New Roman" w:cs="Times New Roman" w:ascii="Times New Roman" w:hAnsi="Times New Roman"/>
          <w:sz w:val="27"/>
          <w:szCs w:val="27"/>
        </w:rPr>
        <w:t xml:space="preserve"> </w:t>
      </w:r>
      <w:r>
        <w:rPr>
          <w:rFonts w:eastAsia="Calibri" w:cs="Times New Roman" w:ascii="Times New Roman" w:hAnsi="Times New Roman"/>
          <w:sz w:val="27"/>
          <w:szCs w:val="27"/>
        </w:rPr>
        <w:t>осуществляется в соответствии с действующим законодательством и Уставом.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 xml:space="preserve">Управление </w:t>
      </w:r>
      <w:r>
        <w:rPr>
          <w:rFonts w:eastAsia="Calibri" w:cs="Times New Roman" w:ascii="Times New Roman" w:hAnsi="Times New Roman"/>
          <w:b/>
          <w:sz w:val="27"/>
          <w:szCs w:val="27"/>
        </w:rPr>
        <w:t>МДОУ «Детский сад п. Белоярский»</w:t>
      </w:r>
      <w:r>
        <w:rPr>
          <w:rFonts w:eastAsia="Calibri" w:cs="Times New Roman" w:ascii="Times New Roman" w:hAnsi="Times New Roman"/>
          <w:sz w:val="27"/>
          <w:szCs w:val="27"/>
        </w:rPr>
        <w:t xml:space="preserve"> строится на принципах единоначалия и 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 – заведующий.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Cs/>
          <w:i/>
          <w:i/>
          <w:sz w:val="27"/>
          <w:szCs w:val="27"/>
        </w:rPr>
      </w:pPr>
      <w:r>
        <w:rPr>
          <w:rFonts w:eastAsia="Times New Roman" w:cs="Times New Roman" w:ascii="Times New Roman" w:hAnsi="Times New Roman"/>
          <w:b/>
          <w:bCs/>
          <w:sz w:val="27"/>
          <w:szCs w:val="27"/>
        </w:rPr>
        <w:t>Органы управления, действующие в</w:t>
      </w:r>
      <w:r>
        <w:rPr>
          <w:rFonts w:eastAsia="Times New Roman" w:cs="Times New Roman" w:ascii="Times New Roman" w:hAnsi="Times New Roman"/>
          <w:bCs/>
          <w:i/>
          <w:sz w:val="27"/>
          <w:szCs w:val="27"/>
        </w:rPr>
        <w:t xml:space="preserve"> </w:t>
      </w:r>
      <w:r>
        <w:rPr>
          <w:rFonts w:eastAsia="Calibri" w:cs="Times New Roman" w:ascii="Times New Roman" w:hAnsi="Times New Roman"/>
          <w:b/>
          <w:sz w:val="27"/>
          <w:szCs w:val="27"/>
        </w:rPr>
        <w:t>МДОУ «Детский сад п. Белоярский»</w:t>
      </w:r>
      <w:r>
        <w:rPr>
          <w:rFonts w:eastAsia="Calibri" w:cs="Times New Roman" w:ascii="Times New Roman" w:hAnsi="Times New Roman"/>
          <w:sz w:val="27"/>
          <w:szCs w:val="27"/>
        </w:rPr>
        <w:t xml:space="preserve"> </w:t>
      </w:r>
      <w:r>
        <w:rPr>
          <w:rFonts w:eastAsia="Times New Roman" w:cs="Times New Roman" w:ascii="Times New Roman" w:hAnsi="Times New Roman"/>
          <w:sz w:val="27"/>
          <w:szCs w:val="27"/>
        </w:rPr>
        <w:t xml:space="preserve"> 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sz w:val="27"/>
          <w:szCs w:val="27"/>
        </w:rPr>
      </w:pPr>
      <w:r>
        <w:rPr>
          <w:rFonts w:eastAsia="Times New Roman" w:cs="Times New Roman" w:ascii="Times New Roman" w:hAnsi="Times New Roman"/>
          <w:sz w:val="27"/>
          <w:szCs w:val="27"/>
        </w:rPr>
      </w:r>
    </w:p>
    <w:tbl>
      <w:tblPr>
        <w:tblW w:w="5000" w:type="pct"/>
        <w:jc w:val="center"/>
        <w:tblInd w:w="0" w:type="dxa"/>
        <w:tblLayout w:type="fixed"/>
        <w:tblCellMar>
          <w:top w:w="0" w:type="dxa"/>
          <w:left w:w="7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896"/>
        <w:gridCol w:w="7308"/>
      </w:tblGrid>
      <w:tr>
        <w:trPr/>
        <w:tc>
          <w:tcPr>
            <w:tcW w:w="289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Наименование органа</w:t>
            </w:r>
          </w:p>
        </w:tc>
        <w:tc>
          <w:tcPr>
            <w:tcW w:w="730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Функции</w:t>
            </w:r>
          </w:p>
        </w:tc>
      </w:tr>
      <w:tr>
        <w:trPr/>
        <w:tc>
          <w:tcPr>
            <w:tcW w:w="289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Заведующий</w:t>
            </w:r>
          </w:p>
        </w:tc>
        <w:tc>
          <w:tcPr>
            <w:tcW w:w="730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>
        <w:trPr/>
        <w:tc>
          <w:tcPr>
            <w:tcW w:w="2896" w:type="dxa"/>
            <w:tcBorders>
              <w:left w:val="single" w:sz="8" w:space="0" w:color="000080"/>
              <w:bottom w:val="single" w:sz="8" w:space="0" w:color="00008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Совет образовательного учреждения</w:t>
            </w:r>
          </w:p>
        </w:tc>
        <w:tc>
          <w:tcPr>
            <w:tcW w:w="7308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Рассматривает вопросы: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 xml:space="preserve">− </w:t>
            </w: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развития образовательной организации;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 xml:space="preserve">− </w:t>
            </w: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финансово-хозяйственной деятельности;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 xml:space="preserve">− </w:t>
            </w: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материально-технического обеспечения</w:t>
            </w:r>
          </w:p>
        </w:tc>
      </w:tr>
      <w:tr>
        <w:trPr/>
        <w:tc>
          <w:tcPr>
            <w:tcW w:w="2896" w:type="dxa"/>
            <w:tcBorders>
              <w:left w:val="single" w:sz="8" w:space="0" w:color="000080"/>
              <w:bottom w:val="single" w:sz="8" w:space="0" w:color="00008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Педагогический совет</w:t>
            </w:r>
          </w:p>
        </w:tc>
        <w:tc>
          <w:tcPr>
            <w:tcW w:w="7308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 xml:space="preserve">− </w:t>
            </w: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развития образовательных услуг;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 xml:space="preserve">− </w:t>
            </w: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регламентации образовательных отношений;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 xml:space="preserve">− </w:t>
            </w: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разработки образовательных программ;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 xml:space="preserve">− </w:t>
            </w: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выбора методически- учебных пособий, средств обучения и воспитания;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 xml:space="preserve">− </w:t>
            </w: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материально-технического обеспечения образовательного процесса;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 xml:space="preserve">− </w:t>
            </w: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аттестации, повышении квалификации педагогических работников;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 xml:space="preserve">− </w:t>
            </w: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координации деятельности методических объединений</w:t>
            </w:r>
          </w:p>
        </w:tc>
      </w:tr>
      <w:tr>
        <w:trPr>
          <w:trHeight w:val="4146" w:hRule="atLeast"/>
        </w:trPr>
        <w:tc>
          <w:tcPr>
            <w:tcW w:w="2896" w:type="dxa"/>
            <w:tcBorders>
              <w:left w:val="single" w:sz="8" w:space="0" w:color="000080"/>
              <w:bottom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Общее собрание трудового  коллектива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</w:r>
          </w:p>
        </w:tc>
        <w:tc>
          <w:tcPr>
            <w:tcW w:w="7308" w:type="dxa"/>
            <w:tcBorders>
              <w:left w:val="single" w:sz="8" w:space="0" w:color="000080"/>
              <w:bottom w:val="single" w:sz="4" w:space="0" w:color="000000"/>
              <w:right w:val="single" w:sz="8" w:space="0" w:color="00008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Реализует право работников участвовать в управлении образовательной организацией, в том числе: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 xml:space="preserve">− </w:t>
            </w: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 xml:space="preserve">− </w:t>
            </w: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 xml:space="preserve">− </w:t>
            </w: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 xml:space="preserve">− </w:t>
            </w: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</w:r>
          </w:p>
        </w:tc>
      </w:tr>
      <w:tr>
        <w:trPr>
          <w:trHeight w:val="2041" w:hRule="atLeast"/>
        </w:trPr>
        <w:tc>
          <w:tcPr>
            <w:tcW w:w="2896" w:type="dxa"/>
            <w:tcBorders>
              <w:top w:val="single" w:sz="4" w:space="0" w:color="000000"/>
              <w:left w:val="single" w:sz="8" w:space="0" w:color="000080"/>
              <w:bottom w:val="single" w:sz="8" w:space="0" w:color="00008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cs="Times New Roman" w:ascii="Times New Roman" w:hAnsi="Times New Roman"/>
                <w:sz w:val="27"/>
                <w:szCs w:val="27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cs="Times New Roman" w:ascii="Times New Roman" w:hAnsi="Times New Roman"/>
                <w:sz w:val="27"/>
                <w:szCs w:val="27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cs="Times New Roman" w:ascii="Times New Roman" w:hAnsi="Times New Roman"/>
                <w:sz w:val="27"/>
                <w:szCs w:val="27"/>
              </w:rPr>
              <w:t>Совет родителей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</w:r>
          </w:p>
        </w:tc>
        <w:tc>
          <w:tcPr>
            <w:tcW w:w="7308" w:type="dxa"/>
            <w:tcBorders>
              <w:top w:val="single" w:sz="4" w:space="0" w:color="00000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cs="Times New Roman" w:ascii="Times New Roman" w:hAnsi="Times New Roman"/>
                <w:sz w:val="27"/>
                <w:szCs w:val="27"/>
              </w:rPr>
              <w:t>Учреждения - создан с целью реализации права родителей (законных представителей) несовершеннолетних воспитанников, педагогических работников на участие в управлении ДОУ, развитие социального партнёрства между всеми заинтересованными сторонами образовательных отношений. Председателем родительского комитета ДОУ на 2022-2023 учебный год является Полехина М.А.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</w:rPr>
            </w:r>
          </w:p>
        </w:tc>
      </w:tr>
    </w:tbl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 xml:space="preserve">Структура и система управления соответствуют специфике деятельности </w:t>
      </w:r>
      <w:r>
        <w:rPr>
          <w:rFonts w:eastAsia="Calibri" w:cs="Times New Roman" w:ascii="Times New Roman" w:hAnsi="Times New Roman"/>
          <w:b/>
          <w:sz w:val="27"/>
          <w:szCs w:val="27"/>
        </w:rPr>
        <w:t xml:space="preserve"> МДОУ «Детский сад п. Белоярский»</w:t>
      </w:r>
      <w:r>
        <w:rPr>
          <w:rFonts w:eastAsia="Calibri" w:cs="Times New Roman" w:ascii="Times New Roman" w:hAnsi="Times New Roman"/>
          <w:sz w:val="27"/>
          <w:szCs w:val="27"/>
        </w:rPr>
        <w:t>.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/>
          <w:b/>
          <w:b/>
          <w:bCs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 xml:space="preserve">                                        </w:t>
      </w:r>
      <w:r>
        <w:rPr>
          <w:rFonts w:cs="Times New Roman" w:ascii="Times New Roman" w:hAnsi="Times New Roman"/>
          <w:b/>
          <w:sz w:val="27"/>
          <w:szCs w:val="27"/>
        </w:rPr>
        <w:t>3.</w:t>
      </w:r>
      <w:r>
        <w:rPr>
          <w:rFonts w:eastAsia="Calibri" w:cs="Times New Roman" w:ascii="Times New Roman" w:hAnsi="Times New Roman"/>
          <w:b/>
          <w:bCs/>
          <w:sz w:val="27"/>
          <w:szCs w:val="27"/>
        </w:rPr>
        <w:t>Оценка образовательной деятельности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>Образовательная деятельность в МДОУ «Детский сад п. Белоярский»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 </w:t>
      </w:r>
      <w:r>
        <w:rPr>
          <w:rFonts w:cs="Times New Roman" w:ascii="Times New Roman" w:hAnsi="Times New Roman"/>
          <w:sz w:val="27"/>
          <w:szCs w:val="27"/>
        </w:rPr>
        <w:t>В  дошкольном образовательном учреждении функционирует 2группы – 1 разновозрастная группа – 10 детей, 2 старшая группа – 12 детей на 01.09.2023г.</w:t>
      </w:r>
    </w:p>
    <w:tbl>
      <w:tblPr>
        <w:tblpPr w:bottomFromText="0" w:horzAnchor="margin" w:leftFromText="180" w:rightFromText="180" w:tblpX="0" w:tblpY="150" w:topFromText="0" w:vertAnchor="text"/>
        <w:tblW w:w="1019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951"/>
        <w:gridCol w:w="2953"/>
        <w:gridCol w:w="1412"/>
        <w:gridCol w:w="1623"/>
        <w:gridCol w:w="1218"/>
        <w:gridCol w:w="1038"/>
      </w:tblGrid>
      <w:tr>
        <w:trPr/>
        <w:tc>
          <w:tcPr>
            <w:tcW w:w="101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7"/>
                <w:szCs w:val="27"/>
                <w:lang w:eastAsia="en-US"/>
              </w:rPr>
            </w:pPr>
            <w:r>
              <w:rPr>
                <w:rFonts w:cs="Times New Roman" w:ascii="Times New Roman" w:hAnsi="Times New Roman"/>
                <w:b/>
                <w:bCs/>
                <w:sz w:val="27"/>
                <w:szCs w:val="27"/>
                <w:lang w:eastAsia="en-US"/>
              </w:rPr>
              <w:t>Общее количество воспитанников в ДОУ – 22, на 01.09.2023г.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7"/>
                <w:szCs w:val="27"/>
                <w:lang w:eastAsia="en-US"/>
              </w:rPr>
            </w:pPr>
            <w:r>
              <w:rPr>
                <w:rFonts w:cs="Times New Roman" w:ascii="Times New Roman" w:hAnsi="Times New Roman"/>
                <w:b/>
                <w:sz w:val="27"/>
                <w:szCs w:val="27"/>
                <w:lang w:eastAsia="en-US"/>
              </w:rPr>
              <w:t>Из них: старшая группа- 12, разновозростная – 10.</w:t>
            </w:r>
          </w:p>
        </w:tc>
      </w:tr>
      <w:tr>
        <w:trPr/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  <w:t>Возраст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  <w:t>детей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  <w:t>Возрастная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  <w:t>группа</w:t>
            </w:r>
          </w:p>
        </w:tc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  <w:t>Кол-во групп</w:t>
            </w:r>
          </w:p>
        </w:tc>
        <w:tc>
          <w:tcPr>
            <w:tcW w:w="3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  <w:t>Количество детей</w:t>
            </w:r>
          </w:p>
        </w:tc>
      </w:tr>
      <w:tr>
        <w:trPr/>
        <w:tc>
          <w:tcPr>
            <w:tcW w:w="19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</w:r>
          </w:p>
        </w:tc>
        <w:tc>
          <w:tcPr>
            <w:tcW w:w="29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</w:r>
          </w:p>
        </w:tc>
        <w:tc>
          <w:tcPr>
            <w:tcW w:w="14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  <w:t>мальчиков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  <w:t>девочек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  <w:t>всего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ar-SA"/>
              </w:rPr>
              <w:t>с 5 до 7 лет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ar-SA"/>
              </w:rPr>
              <w:t>старшая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  <w:t>12</w:t>
            </w:r>
          </w:p>
        </w:tc>
      </w:tr>
      <w:tr>
        <w:trPr>
          <w:trHeight w:val="443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ar-SA"/>
              </w:rPr>
              <w:t>С 1,6 – 4 лет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ar-SA"/>
              </w:rPr>
              <w:t>разновозростная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  <w:t>10</w:t>
            </w:r>
          </w:p>
        </w:tc>
      </w:tr>
      <w:tr>
        <w:trPr/>
        <w:tc>
          <w:tcPr>
            <w:tcW w:w="91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  <w:t>Всего групп для детей дошкольного возраста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  <w:t>2</w:t>
            </w:r>
          </w:p>
        </w:tc>
      </w:tr>
      <w:tr>
        <w:trPr/>
        <w:tc>
          <w:tcPr>
            <w:tcW w:w="91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  <w:t>Всего детей дошкольного возраста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  <w:t>22</w:t>
            </w:r>
          </w:p>
        </w:tc>
      </w:tr>
      <w:tr>
        <w:trPr/>
        <w:tc>
          <w:tcPr>
            <w:tcW w:w="91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  <w:t>Всего мальчиков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  <w:t>15</w:t>
            </w:r>
          </w:p>
        </w:tc>
      </w:tr>
      <w:tr>
        <w:trPr/>
        <w:tc>
          <w:tcPr>
            <w:tcW w:w="91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  <w:t>Всего девочек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7"/>
                <w:szCs w:val="27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7"/>
                <w:szCs w:val="27"/>
                <w:lang w:eastAsia="ar-SA"/>
              </w:rPr>
              <w:t>7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>С  1сентября 2023 года детский сад посещает- 22 воспитанника в возрасте от 2 до 7 лет. Это связано с уменьшением численности детей. Сформированы 2 группы: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>Уровень развития детей анализируется по итогам педагогической диагностики.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 xml:space="preserve"> </w:t>
      </w:r>
      <w:r>
        <w:rPr>
          <w:rFonts w:eastAsia="Calibri" w:cs="Times New Roman" w:ascii="Times New Roman" w:hAnsi="Times New Roman"/>
          <w:sz w:val="27"/>
          <w:szCs w:val="27"/>
        </w:rPr>
        <w:t>Формы проведения диагностики: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 xml:space="preserve">− </w:t>
      </w:r>
      <w:r>
        <w:rPr>
          <w:rFonts w:eastAsia="Calibri" w:cs="Times New Roman" w:ascii="Times New Roman" w:hAnsi="Times New Roman"/>
          <w:sz w:val="27"/>
          <w:szCs w:val="27"/>
        </w:rPr>
        <w:t>диагностические занятия (по каждому разделу программы);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 xml:space="preserve">− </w:t>
      </w:r>
      <w:r>
        <w:rPr>
          <w:rFonts w:eastAsia="Calibri" w:cs="Times New Roman" w:ascii="Times New Roman" w:hAnsi="Times New Roman"/>
          <w:sz w:val="27"/>
          <w:szCs w:val="27"/>
        </w:rPr>
        <w:t>наблюдения, итоговые занятия.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>Разработаны диагностические карты освоения основной образовательной программы дошкольного образования ООП МДОУ «Детский сад п. Белоярский» по каждой возрастной подгруппе. Карты включают анализ уровня развития целевых ориентиров детского развития и качества освоения образовательных областей.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 xml:space="preserve">В мае 2023 года педагоги детского сада проводили обследования воспитанников подготовительной группы на предмет оценки сформированности предпосылок к учебной деятельности в количестве 7 человек. 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>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>Уровень развития детей анализируется по итогам педагогической диагностики.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 xml:space="preserve"> </w:t>
      </w:r>
      <w:r>
        <w:rPr>
          <w:rFonts w:eastAsia="Calibri" w:cs="Times New Roman" w:ascii="Times New Roman" w:hAnsi="Times New Roman"/>
          <w:sz w:val="27"/>
          <w:szCs w:val="27"/>
        </w:rPr>
        <w:t>Формы проведения диагностики: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 xml:space="preserve">− </w:t>
      </w:r>
      <w:r>
        <w:rPr>
          <w:rFonts w:eastAsia="Calibri" w:cs="Times New Roman" w:ascii="Times New Roman" w:hAnsi="Times New Roman"/>
          <w:sz w:val="27"/>
          <w:szCs w:val="27"/>
        </w:rPr>
        <w:t>диагностические занятия (по каждому разделу программы);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 xml:space="preserve">− </w:t>
      </w:r>
      <w:r>
        <w:rPr>
          <w:rFonts w:eastAsia="Calibri" w:cs="Times New Roman" w:ascii="Times New Roman" w:hAnsi="Times New Roman"/>
          <w:sz w:val="27"/>
          <w:szCs w:val="27"/>
        </w:rPr>
        <w:t>наблюдения, итоговые занятия.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>Так, результаты качества освоения ООП Детского сада на конец 2022 года выглядят следующим образом: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b/>
          <w:b/>
          <w:sz w:val="27"/>
          <w:szCs w:val="27"/>
          <w:lang w:eastAsia="en-US"/>
        </w:rPr>
      </w:pPr>
      <w:r>
        <w:rPr>
          <w:rFonts w:eastAsia="Times New Roman" w:cs="Times New Roman" w:ascii="Times New Roman" w:hAnsi="Times New Roman"/>
          <w:b/>
          <w:sz w:val="27"/>
          <w:szCs w:val="27"/>
          <w:lang w:eastAsia="en-US"/>
        </w:rPr>
      </w:r>
    </w:p>
    <w:tbl>
      <w:tblPr>
        <w:tblW w:w="10538" w:type="dxa"/>
        <w:jc w:val="left"/>
        <w:tblInd w:w="-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3630"/>
        <w:gridCol w:w="2466"/>
        <w:gridCol w:w="2391"/>
        <w:gridCol w:w="2050"/>
      </w:tblGrid>
      <w:tr>
        <w:trPr>
          <w:trHeight w:val="1610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b/>
                <w:b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b/>
                <w:sz w:val="27"/>
                <w:szCs w:val="27"/>
                <w:lang w:eastAsia="en-US"/>
              </w:rPr>
              <w:t xml:space="preserve">       </w:t>
            </w:r>
            <w:r>
              <w:rPr>
                <w:rFonts w:eastAsia="Times New Roman" w:cs="Times New Roman" w:ascii="Times New Roman" w:hAnsi="Times New Roman"/>
                <w:b/>
                <w:sz w:val="27"/>
                <w:szCs w:val="27"/>
                <w:lang w:eastAsia="en-US"/>
              </w:rPr>
              <w:t>Области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b/>
                <w:b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b/>
                <w:sz w:val="27"/>
                <w:szCs w:val="27"/>
                <w:lang w:eastAsia="en-US"/>
              </w:rPr>
              <w:t>Сформированный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b/>
                <w:b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b/>
                <w:sz w:val="27"/>
                <w:szCs w:val="27"/>
                <w:lang w:eastAsia="en-US"/>
              </w:rPr>
              <w:t xml:space="preserve">         </w:t>
            </w:r>
            <w:r>
              <w:rPr>
                <w:rFonts w:eastAsia="Times New Roman" w:cs="Times New Roman" w:ascii="Times New Roman" w:hAnsi="Times New Roman"/>
                <w:b/>
                <w:sz w:val="27"/>
                <w:szCs w:val="27"/>
                <w:lang w:eastAsia="en-US"/>
              </w:rPr>
              <w:t>%</w:t>
            </w:r>
          </w:p>
        </w:tc>
        <w:tc>
          <w:tcPr>
            <w:tcW w:w="2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b/>
                <w:b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b/>
                <w:sz w:val="27"/>
                <w:szCs w:val="27"/>
                <w:lang w:eastAsia="en-US"/>
              </w:rPr>
              <w:t>Частично сформированный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b/>
                <w:b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b/>
                <w:sz w:val="27"/>
                <w:szCs w:val="27"/>
                <w:lang w:eastAsia="en-US"/>
              </w:rPr>
              <w:t xml:space="preserve">       </w:t>
            </w:r>
            <w:r>
              <w:rPr>
                <w:rFonts w:eastAsia="Times New Roman" w:cs="Times New Roman" w:ascii="Times New Roman" w:hAnsi="Times New Roman"/>
                <w:b/>
                <w:sz w:val="27"/>
                <w:szCs w:val="27"/>
                <w:lang w:eastAsia="en-US"/>
              </w:rPr>
              <w:t>%</w:t>
            </w:r>
          </w:p>
        </w:tc>
        <w:tc>
          <w:tcPr>
            <w:tcW w:w="2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b/>
                <w:b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b/>
                <w:sz w:val="27"/>
                <w:szCs w:val="27"/>
                <w:lang w:eastAsia="en-US"/>
              </w:rPr>
              <w:t>На стадии формирования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b/>
                <w:b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b/>
                <w:sz w:val="27"/>
                <w:szCs w:val="27"/>
                <w:lang w:eastAsia="en-US"/>
              </w:rPr>
              <w:t xml:space="preserve">         </w:t>
            </w:r>
            <w:r>
              <w:rPr>
                <w:rFonts w:eastAsia="Times New Roman" w:cs="Times New Roman" w:ascii="Times New Roman" w:hAnsi="Times New Roman"/>
                <w:b/>
                <w:sz w:val="27"/>
                <w:szCs w:val="27"/>
                <w:lang w:eastAsia="en-US"/>
              </w:rPr>
              <w:t>%</w:t>
            </w:r>
          </w:p>
        </w:tc>
      </w:tr>
      <w:tr>
        <w:trPr>
          <w:trHeight w:val="199" w:hRule="atLeast"/>
        </w:trPr>
        <w:tc>
          <w:tcPr>
            <w:tcW w:w="3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b/>
                <w:b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b/>
                <w:sz w:val="27"/>
                <w:szCs w:val="27"/>
                <w:lang w:eastAsia="en-US"/>
              </w:rPr>
            </w:r>
          </w:p>
        </w:tc>
        <w:tc>
          <w:tcPr>
            <w:tcW w:w="24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</w:r>
          </w:p>
        </w:tc>
        <w:tc>
          <w:tcPr>
            <w:tcW w:w="23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</w:r>
          </w:p>
        </w:tc>
        <w:tc>
          <w:tcPr>
            <w:tcW w:w="20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</w:r>
          </w:p>
        </w:tc>
      </w:tr>
      <w:tr>
        <w:trPr>
          <w:trHeight w:val="731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b/>
                <w:sz w:val="27"/>
                <w:szCs w:val="27"/>
                <w:lang w:eastAsia="en-US"/>
              </w:rPr>
              <w:t>Социально – коммуникативное развитие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  <w:t>96 % - 21чел.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  <w:t>4 % - 1 чел.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  <w:t>0 %</w:t>
            </w:r>
          </w:p>
        </w:tc>
      </w:tr>
      <w:tr>
        <w:trPr>
          <w:trHeight w:val="596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b/>
                <w:b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b/>
                <w:sz w:val="27"/>
                <w:szCs w:val="27"/>
                <w:lang w:eastAsia="en-US"/>
              </w:rPr>
              <w:t>Познавательное развитие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  <w:t>63% - 11чел.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  <w:t>33% - 10 чел.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  <w:t>4 % - 1чел.</w:t>
            </w:r>
          </w:p>
        </w:tc>
      </w:tr>
      <w:tr>
        <w:trPr>
          <w:trHeight w:val="536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b/>
                <w:b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b/>
                <w:sz w:val="27"/>
                <w:szCs w:val="27"/>
                <w:lang w:eastAsia="en-US"/>
              </w:rPr>
              <w:t>Речевое развитие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  <w:t>60%  - 18 чел.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  <w:t>36% - 11 чел.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  <w:t>4 %-1чел</w:t>
            </w:r>
          </w:p>
        </w:tc>
      </w:tr>
      <w:tr>
        <w:trPr>
          <w:trHeight w:val="708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b/>
                <w:sz w:val="27"/>
                <w:szCs w:val="27"/>
                <w:lang w:eastAsia="en-US"/>
              </w:rPr>
              <w:t>Художественно – эстетическое развитие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  <w:t>96% - 21чел.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  <w:t>4 % - 1 чел.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  <w:t>0%</w:t>
            </w:r>
          </w:p>
        </w:tc>
      </w:tr>
      <w:tr>
        <w:trPr>
          <w:trHeight w:val="510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b/>
                <w:b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b/>
                <w:sz w:val="27"/>
                <w:szCs w:val="27"/>
                <w:lang w:eastAsia="en-US"/>
              </w:rPr>
              <w:t>Физическое развитие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  <w:t>70 % - 21чел.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  <w:t>26 % -8 чел.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  <w:t>4 % -1 чел.</w:t>
            </w:r>
          </w:p>
        </w:tc>
      </w:tr>
      <w:tr>
        <w:trPr>
          <w:trHeight w:val="417" w:hRule="atLeast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b/>
                <w:b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b/>
                <w:sz w:val="27"/>
                <w:szCs w:val="27"/>
                <w:lang w:eastAsia="en-US"/>
              </w:rPr>
              <w:t>Итого: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  <w:t>80 % - 8 чел.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  <w:t>10% - 1 чел.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7"/>
                <w:szCs w:val="27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en-US"/>
              </w:rPr>
              <w:t>10% - 1 чел.</w:t>
            </w:r>
          </w:p>
        </w:tc>
      </w:tr>
    </w:tbl>
    <w:p>
      <w:pPr>
        <w:pStyle w:val="Normal"/>
        <w:spacing w:before="0" w:after="0"/>
        <w:rPr>
          <w:rFonts w:ascii="Times New Roman" w:hAnsi="Times New Roman" w:eastAsia="Times New Roman" w:cs="Times New Roman"/>
          <w:b/>
          <w:b/>
          <w:sz w:val="27"/>
          <w:szCs w:val="27"/>
          <w:lang w:eastAsia="en-US"/>
        </w:rPr>
      </w:pPr>
      <w:r>
        <w:rPr>
          <w:rFonts w:eastAsia="Times New Roman" w:cs="Times New Roman" w:ascii="Times New Roman" w:hAnsi="Times New Roman"/>
          <w:b/>
          <w:sz w:val="27"/>
          <w:szCs w:val="27"/>
          <w:lang w:eastAsia="en-US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7"/>
          <w:szCs w:val="27"/>
          <w:lang w:eastAsia="en-US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en-US"/>
        </w:rPr>
        <w:t>Сформированный уровень развития составляет 80% - 20человек  из 22 человек.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7"/>
          <w:szCs w:val="27"/>
          <w:lang w:eastAsia="en-US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en-US"/>
        </w:rPr>
        <w:t>Частично сформированный уровень развития составляет  10% -1 человек из 22 человек.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7"/>
          <w:szCs w:val="27"/>
          <w:lang w:eastAsia="en-US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en-US"/>
        </w:rPr>
        <w:t>На стадии формирования  уровень развития составляет  10% - 1 человек из 22 человек.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Calibri" w:cs="Times New Roman"/>
          <w:b/>
          <w:b/>
          <w:sz w:val="27"/>
          <w:szCs w:val="27"/>
        </w:rPr>
      </w:pPr>
      <w:r>
        <w:rPr>
          <w:rFonts w:eastAsia="Calibri" w:cs="Times New Roman" w:ascii="Times New Roman" w:hAnsi="Times New Roman"/>
          <w:b/>
          <w:sz w:val="27"/>
          <w:szCs w:val="27"/>
        </w:rPr>
        <w:t>Воспитательная работа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>Чтобы выбрать стратегию воспитательной работы, в 2023учебном году проводился анализ состава семей воспитанников.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i/>
          <w:i/>
          <w:sz w:val="27"/>
          <w:szCs w:val="27"/>
        </w:rPr>
      </w:pPr>
      <w:r>
        <w:rPr>
          <w:rFonts w:eastAsia="Calibri" w:cs="Times New Roman" w:ascii="Times New Roman" w:hAnsi="Times New Roman"/>
          <w:i/>
          <w:sz w:val="27"/>
          <w:szCs w:val="27"/>
        </w:rPr>
        <w:t>Характеристика семей по составу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 xml:space="preserve">Социальный паспорт семей воспитанников МДОУ «Детский сад п. Белоярский» 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 xml:space="preserve">     </w:t>
      </w:r>
      <w:r>
        <w:rPr>
          <w:rFonts w:cs="Times New Roman" w:ascii="Times New Roman" w:hAnsi="Times New Roman"/>
          <w:b/>
          <w:sz w:val="27"/>
          <w:szCs w:val="27"/>
        </w:rPr>
        <w:t>на  30.12.2023г.</w:t>
      </w:r>
    </w:p>
    <w:p>
      <w:pPr>
        <w:pStyle w:val="Normal"/>
        <w:spacing w:before="0" w:after="0"/>
        <w:rPr>
          <w:rFonts w:ascii="Times New Roman" w:hAnsi="Times New Roman" w:cs="Times New Roman"/>
          <w:sz w:val="27"/>
          <w:szCs w:val="27"/>
          <w:lang w:eastAsia="en-US"/>
        </w:rPr>
      </w:pPr>
      <w:r>
        <w:rPr>
          <w:rFonts w:cs="Times New Roman" w:ascii="Times New Roman" w:hAnsi="Times New Roman"/>
          <w:sz w:val="27"/>
          <w:szCs w:val="27"/>
          <w:lang w:eastAsia="en-US"/>
        </w:rPr>
        <w:t>Общее число семей – 18 семей.</w:t>
      </w:r>
    </w:p>
    <w:p>
      <w:pPr>
        <w:pStyle w:val="Normal"/>
        <w:spacing w:before="0" w:after="0"/>
        <w:rPr>
          <w:rFonts w:ascii="Times New Roman" w:hAnsi="Times New Roman" w:cs="Times New Roman"/>
          <w:sz w:val="27"/>
          <w:szCs w:val="27"/>
          <w:lang w:eastAsia="en-US"/>
        </w:rPr>
      </w:pPr>
      <w:r>
        <w:rPr>
          <w:rFonts w:cs="Times New Roman" w:ascii="Times New Roman" w:hAnsi="Times New Roman"/>
          <w:sz w:val="27"/>
          <w:szCs w:val="27"/>
          <w:lang w:eastAsia="en-US"/>
        </w:rPr>
        <w:t>Общее число родителей (лиц, их заменяющих) –  32 чел.</w:t>
      </w:r>
    </w:p>
    <w:p>
      <w:pPr>
        <w:pStyle w:val="Normal"/>
        <w:spacing w:before="0" w:after="0"/>
        <w:rPr>
          <w:rFonts w:ascii="Times New Roman" w:hAnsi="Times New Roman" w:cs="Times New Roman"/>
          <w:sz w:val="27"/>
          <w:szCs w:val="27"/>
          <w:lang w:eastAsia="en-US"/>
        </w:rPr>
      </w:pPr>
      <w:r>
        <w:rPr>
          <w:rFonts w:cs="Times New Roman" w:ascii="Times New Roman" w:hAnsi="Times New Roman"/>
          <w:sz w:val="27"/>
          <w:szCs w:val="27"/>
          <w:lang w:eastAsia="en-US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-57150</wp:posOffset>
            </wp:positionH>
            <wp:positionV relativeFrom="paragraph">
              <wp:posOffset>147320</wp:posOffset>
            </wp:positionV>
            <wp:extent cx="5876290" cy="2733040"/>
            <wp:effectExtent l="0" t="0" r="0" b="0"/>
            <wp:wrapSquare wrapText="bothSides"/>
            <wp:docPr id="2" name="Объект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</w:p>
    <w:p>
      <w:pPr>
        <w:pStyle w:val="Normal"/>
        <w:spacing w:before="0" w:after="0"/>
        <w:rPr>
          <w:rFonts w:ascii="Times New Roman" w:hAnsi="Times New Roman" w:cs="Times New Roman"/>
          <w:sz w:val="27"/>
          <w:szCs w:val="27"/>
          <w:lang w:eastAsia="en-US"/>
        </w:rPr>
      </w:pPr>
      <w:r>
        <w:rPr>
          <w:rFonts w:cs="Times New Roman" w:ascii="Times New Roman" w:hAnsi="Times New Roman"/>
          <w:sz w:val="27"/>
          <w:szCs w:val="27"/>
          <w:lang w:eastAsia="en-US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7"/>
          <w:szCs w:val="27"/>
          <w:lang w:eastAsia="en-US"/>
        </w:rPr>
      </w:pPr>
      <w:r>
        <w:rPr>
          <w:rFonts w:cs="Times New Roman" w:ascii="Times New Roman" w:hAnsi="Times New Roman"/>
          <w:sz w:val="27"/>
          <w:szCs w:val="27"/>
          <w:lang w:eastAsia="en-US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7"/>
          <w:szCs w:val="27"/>
          <w:lang w:eastAsia="en-US"/>
        </w:rPr>
      </w:pPr>
      <w:r>
        <w:rPr>
          <w:rFonts w:cs="Times New Roman" w:ascii="Times New Roman" w:hAnsi="Times New Roman"/>
          <w:sz w:val="27"/>
          <w:szCs w:val="27"/>
          <w:lang w:eastAsia="en-US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7"/>
          <w:szCs w:val="27"/>
          <w:lang w:eastAsia="en-US"/>
        </w:rPr>
      </w:pPr>
      <w:r>
        <w:rPr>
          <w:rFonts w:cs="Times New Roman" w:ascii="Times New Roman" w:hAnsi="Times New Roman"/>
          <w:sz w:val="27"/>
          <w:szCs w:val="27"/>
          <w:lang w:eastAsia="en-US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7"/>
          <w:szCs w:val="27"/>
          <w:lang w:eastAsia="en-US"/>
        </w:rPr>
      </w:pPr>
      <w:r>
        <w:rPr>
          <w:rFonts w:cs="Times New Roman" w:ascii="Times New Roman" w:hAnsi="Times New Roman"/>
          <w:sz w:val="27"/>
          <w:szCs w:val="27"/>
          <w:lang w:eastAsia="en-US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7"/>
          <w:szCs w:val="27"/>
          <w:lang w:eastAsia="en-US"/>
        </w:rPr>
      </w:pPr>
      <w:r>
        <w:rPr>
          <w:rFonts w:cs="Times New Roman" w:ascii="Times New Roman" w:hAnsi="Times New Roman"/>
          <w:sz w:val="27"/>
          <w:szCs w:val="27"/>
          <w:lang w:eastAsia="en-US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7"/>
          <w:szCs w:val="27"/>
          <w:lang w:eastAsia="en-US"/>
        </w:rPr>
      </w:pPr>
      <w:r>
        <w:rPr>
          <w:rFonts w:cs="Times New Roman" w:ascii="Times New Roman" w:hAnsi="Times New Roman"/>
          <w:sz w:val="27"/>
          <w:szCs w:val="27"/>
          <w:lang w:eastAsia="en-US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7"/>
          <w:szCs w:val="27"/>
          <w:lang w:eastAsia="en-US"/>
        </w:rPr>
      </w:pPr>
      <w:r>
        <w:rPr>
          <w:rFonts w:cs="Times New Roman" w:ascii="Times New Roman" w:hAnsi="Times New Roman"/>
          <w:sz w:val="27"/>
          <w:szCs w:val="27"/>
          <w:lang w:eastAsia="en-US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7"/>
          <w:szCs w:val="27"/>
          <w:lang w:eastAsia="en-US"/>
        </w:rPr>
      </w:pPr>
      <w:r>
        <w:rPr>
          <w:rFonts w:cs="Times New Roman" w:ascii="Times New Roman" w:hAnsi="Times New Roman"/>
          <w:sz w:val="27"/>
          <w:szCs w:val="27"/>
          <w:lang w:eastAsia="en-US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7"/>
          <w:szCs w:val="27"/>
          <w:lang w:eastAsia="en-US"/>
        </w:rPr>
      </w:pPr>
      <w:r>
        <w:rPr>
          <w:rFonts w:cs="Times New Roman" w:ascii="Times New Roman" w:hAnsi="Times New Roman"/>
          <w:sz w:val="27"/>
          <w:szCs w:val="27"/>
          <w:lang w:eastAsia="en-US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7"/>
          <w:szCs w:val="27"/>
          <w:lang w:eastAsia="en-US"/>
        </w:rPr>
      </w:pPr>
      <w:r>
        <w:rPr>
          <w:rFonts w:cs="Times New Roman" w:ascii="Times New Roman" w:hAnsi="Times New Roman"/>
          <w:sz w:val="27"/>
          <w:szCs w:val="27"/>
          <w:lang w:eastAsia="en-US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7"/>
          <w:szCs w:val="27"/>
          <w:lang w:eastAsia="en-US"/>
        </w:rPr>
      </w:pPr>
      <w:r>
        <w:rPr>
          <w:rFonts w:cs="Times New Roman" w:ascii="Times New Roman" w:hAnsi="Times New Roman"/>
          <w:sz w:val="27"/>
          <w:szCs w:val="27"/>
          <w:lang w:eastAsia="en-US"/>
        </w:rPr>
      </w:r>
    </w:p>
    <w:tbl>
      <w:tblPr>
        <w:tblStyle w:val="ab"/>
        <w:tblpPr w:vertAnchor="text" w:horzAnchor="margin" w:leftFromText="180" w:rightFromText="180" w:tblpX="0" w:tblpY="104"/>
        <w:tblW w:w="8897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373"/>
        <w:gridCol w:w="4523"/>
      </w:tblGrid>
      <w:tr>
        <w:trPr/>
        <w:tc>
          <w:tcPr>
            <w:tcW w:w="43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Критерии</w:t>
            </w:r>
          </w:p>
        </w:tc>
        <w:tc>
          <w:tcPr>
            <w:tcW w:w="452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разновозрастная</w:t>
            </w:r>
          </w:p>
        </w:tc>
      </w:tr>
      <w:tr>
        <w:trPr/>
        <w:tc>
          <w:tcPr>
            <w:tcW w:w="43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7"/>
                <w:szCs w:val="27"/>
                <w:lang w:val="en-US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7"/>
                <w:szCs w:val="27"/>
                <w:lang w:val="ru-RU" w:eastAsia="en-US" w:bidi="ar-SA"/>
              </w:rPr>
              <w:t>Количество семей</w:t>
            </w:r>
          </w:p>
        </w:tc>
        <w:tc>
          <w:tcPr>
            <w:tcW w:w="452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7"/>
                <w:szCs w:val="27"/>
                <w:lang w:val="ru-RU" w:eastAsia="en-US" w:bidi="ar-SA"/>
              </w:rPr>
              <w:t>18</w:t>
            </w:r>
          </w:p>
        </w:tc>
      </w:tr>
      <w:tr>
        <w:trPr/>
        <w:tc>
          <w:tcPr>
            <w:tcW w:w="43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Имеют одного ребёнка в семье</w:t>
            </w:r>
          </w:p>
        </w:tc>
        <w:tc>
          <w:tcPr>
            <w:tcW w:w="452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5</w:t>
            </w:r>
          </w:p>
        </w:tc>
      </w:tr>
      <w:tr>
        <w:trPr/>
        <w:tc>
          <w:tcPr>
            <w:tcW w:w="43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Имеют двоих детей в семье</w:t>
            </w:r>
          </w:p>
        </w:tc>
        <w:tc>
          <w:tcPr>
            <w:tcW w:w="452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12</w:t>
            </w:r>
          </w:p>
        </w:tc>
      </w:tr>
      <w:tr>
        <w:trPr/>
        <w:tc>
          <w:tcPr>
            <w:tcW w:w="43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Имеют более двух детей в семье</w:t>
            </w:r>
          </w:p>
        </w:tc>
        <w:tc>
          <w:tcPr>
            <w:tcW w:w="452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5</w:t>
            </w:r>
          </w:p>
        </w:tc>
      </w:tr>
      <w:tr>
        <w:trPr/>
        <w:tc>
          <w:tcPr>
            <w:tcW w:w="43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Полные семьи</w:t>
            </w:r>
          </w:p>
        </w:tc>
        <w:tc>
          <w:tcPr>
            <w:tcW w:w="452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15</w:t>
            </w:r>
          </w:p>
        </w:tc>
      </w:tr>
      <w:tr>
        <w:trPr/>
        <w:tc>
          <w:tcPr>
            <w:tcW w:w="43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Неполные семьи</w:t>
            </w:r>
          </w:p>
        </w:tc>
        <w:tc>
          <w:tcPr>
            <w:tcW w:w="452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3</w:t>
            </w:r>
          </w:p>
        </w:tc>
      </w:tr>
      <w:tr>
        <w:trPr/>
        <w:tc>
          <w:tcPr>
            <w:tcW w:w="43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Имеют высшее образование</w:t>
            </w:r>
          </w:p>
        </w:tc>
        <w:tc>
          <w:tcPr>
            <w:tcW w:w="452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6</w:t>
            </w:r>
          </w:p>
        </w:tc>
      </w:tr>
      <w:tr>
        <w:trPr/>
        <w:tc>
          <w:tcPr>
            <w:tcW w:w="43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Оба родителя работают</w:t>
            </w:r>
          </w:p>
        </w:tc>
        <w:tc>
          <w:tcPr>
            <w:tcW w:w="452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13</w:t>
            </w:r>
          </w:p>
        </w:tc>
      </w:tr>
      <w:tr>
        <w:trPr/>
        <w:tc>
          <w:tcPr>
            <w:tcW w:w="43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Один родитель работает</w:t>
            </w:r>
          </w:p>
        </w:tc>
        <w:tc>
          <w:tcPr>
            <w:tcW w:w="452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5</w:t>
            </w:r>
          </w:p>
        </w:tc>
      </w:tr>
    </w:tbl>
    <w:p>
      <w:pPr>
        <w:pStyle w:val="Normal"/>
        <w:spacing w:before="0" w:after="0"/>
        <w:rPr>
          <w:rFonts w:ascii="Times New Roman" w:hAnsi="Times New Roman" w:cs="Times New Roman"/>
          <w:sz w:val="27"/>
          <w:szCs w:val="27"/>
          <w:lang w:eastAsia="en-US"/>
        </w:rPr>
      </w:pPr>
      <w:r>
        <w:rPr>
          <w:rFonts w:cs="Times New Roman" w:ascii="Times New Roman" w:hAnsi="Times New Roman"/>
          <w:sz w:val="27"/>
          <w:szCs w:val="27"/>
          <w:lang w:eastAsia="en-US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bCs/>
          <w:sz w:val="27"/>
          <w:szCs w:val="27"/>
          <w:lang w:eastAsia="en-US"/>
        </w:rPr>
      </w:pPr>
      <w:r>
        <w:rPr>
          <w:rFonts w:cs="Times New Roman" w:ascii="Times New Roman" w:hAnsi="Times New Roman"/>
          <w:b/>
          <w:bCs/>
          <w:sz w:val="27"/>
          <w:szCs w:val="27"/>
          <w:lang w:eastAsia="en-US"/>
        </w:rPr>
        <w:t xml:space="preserve">                                                                 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keepNext w:val="true"/>
        <w:numPr>
          <w:ilvl w:val="0"/>
          <w:numId w:val="0"/>
        </w:numPr>
        <w:suppressAutoHyphens w:val="true"/>
        <w:spacing w:before="0" w:after="0"/>
        <w:ind w:left="360" w:hanging="0"/>
        <w:jc w:val="center"/>
        <w:outlineLvl w:val="0"/>
        <w:rPr>
          <w:rFonts w:ascii="Times New Roman" w:hAnsi="Times New Roman" w:eastAsia="Times New Roman" w:cs="Times New Roman"/>
          <w:bCs/>
          <w:kern w:val="2"/>
          <w:sz w:val="27"/>
          <w:szCs w:val="27"/>
          <w:lang w:eastAsia="ar-SA"/>
        </w:rPr>
      </w:pPr>
      <w:r>
        <w:rPr>
          <w:rFonts w:eastAsia="Times New Roman" w:cs="Times New Roman" w:ascii="Times New Roman" w:hAnsi="Times New Roman"/>
          <w:bCs/>
          <w:kern w:val="2"/>
          <w:sz w:val="27"/>
          <w:szCs w:val="27"/>
          <w:lang w:eastAsia="ar-SA"/>
        </w:rPr>
      </w:r>
    </w:p>
    <w:p>
      <w:pPr>
        <w:pStyle w:val="Normal"/>
        <w:tabs>
          <w:tab w:val="clear" w:pos="708"/>
          <w:tab w:val="left" w:pos="2235" w:leader="none"/>
        </w:tabs>
        <w:spacing w:lineRule="atLeast" w:line="240" w:before="0" w:after="0"/>
        <w:rPr>
          <w:rFonts w:ascii="Times New Roman" w:hAnsi="Times New Roman" w:eastAsia="Calibri" w:cs="Times New Roman"/>
          <w:b/>
          <w:b/>
          <w:sz w:val="27"/>
          <w:szCs w:val="27"/>
        </w:rPr>
      </w:pPr>
      <w:r>
        <w:rPr>
          <w:rFonts w:eastAsia="Calibri" w:cs="Times New Roman" w:ascii="Times New Roman" w:hAnsi="Times New Roman"/>
          <w:b/>
          <w:sz w:val="27"/>
          <w:szCs w:val="27"/>
        </w:rPr>
      </w:r>
    </w:p>
    <w:p>
      <w:pPr>
        <w:pStyle w:val="NoSpacing"/>
        <w:jc w:val="both"/>
        <w:rPr>
          <w:rFonts w:ascii="Times New Roman" w:hAnsi="Times New Roman"/>
          <w:bCs/>
          <w:iCs/>
          <w:sz w:val="27"/>
          <w:szCs w:val="27"/>
        </w:rPr>
      </w:pPr>
      <w:r>
        <w:rPr>
          <w:rFonts w:ascii="Times New Roman" w:hAnsi="Times New Roman"/>
          <w:bCs/>
          <w:iCs/>
          <w:sz w:val="27"/>
          <w:szCs w:val="27"/>
        </w:rPr>
        <w:t xml:space="preserve">          </w:t>
      </w:r>
    </w:p>
    <w:p>
      <w:pPr>
        <w:pStyle w:val="NoSpacing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</w:r>
    </w:p>
    <w:p>
      <w:pPr>
        <w:pStyle w:val="NoSpacing"/>
        <w:jc w:val="both"/>
        <w:rPr>
          <w:rFonts w:ascii="Times New Roman" w:hAnsi="Times New Roman"/>
          <w:b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</w:r>
    </w:p>
    <w:p>
      <w:pPr>
        <w:pStyle w:val="NoSpacing"/>
        <w:jc w:val="both"/>
        <w:rPr>
          <w:rFonts w:ascii="Times New Roman" w:hAnsi="Times New Roman"/>
          <w:b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</w:r>
    </w:p>
    <w:p>
      <w:pPr>
        <w:pStyle w:val="NoSpacing"/>
        <w:jc w:val="both"/>
        <w:rPr>
          <w:rFonts w:ascii="Times New Roman" w:hAnsi="Times New Roman"/>
          <w:b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</w:r>
    </w:p>
    <w:p>
      <w:pPr>
        <w:pStyle w:val="NoSpacing"/>
        <w:jc w:val="both"/>
        <w:rPr>
          <w:rFonts w:ascii="Times New Roman" w:hAnsi="Times New Roman"/>
          <w:b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Calibri" w:cs="Times New Roman"/>
          <w:b/>
          <w:b/>
          <w:sz w:val="27"/>
          <w:szCs w:val="27"/>
        </w:rPr>
      </w:pPr>
      <w:r>
        <w:rPr>
          <w:rFonts w:eastAsia="Calibri" w:cs="Times New Roman" w:ascii="Times New Roman" w:hAnsi="Times New Roman"/>
          <w:b/>
          <w:sz w:val="27"/>
          <w:szCs w:val="27"/>
        </w:rPr>
        <w:t>4. Оценка функционирования внутренней системы оценки качества образования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>Мониторинг качества образовательной деятельности в 2023 году показал хорошую работу педагогического коллектива по всем показателям.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 xml:space="preserve">Состояние здоровья и физического развития воспитанников удовлетворительные.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Calibri" w:cs="Times New Roman"/>
          <w:sz w:val="27"/>
          <w:szCs w:val="27"/>
        </w:rPr>
      </w:pPr>
      <w:r>
        <w:rPr>
          <w:rFonts w:eastAsia="Calibri" w:cs="Times New Roman" w:ascii="Times New Roman" w:hAnsi="Times New Roman"/>
          <w:sz w:val="27"/>
          <w:szCs w:val="27"/>
        </w:rPr>
        <w:t>Более 80 процентов детей успешно освоили образовательную программу дошкольного образования в своей возрастной группе. В течение года воспитанники и педагоги Детского сада успешно участвовали в конкурсах и мероприятиях различного уровня.</w:t>
      </w:r>
    </w:p>
    <w:p>
      <w:pPr>
        <w:pStyle w:val="Normal"/>
        <w:ind w:firstLine="426"/>
        <w:jc w:val="center"/>
        <w:rPr>
          <w:rFonts w:ascii="Times New Roman" w:hAnsi="Times New Roman" w:eastAsia="Calibri" w:cs="Times New Roman"/>
          <w:b/>
          <w:b/>
          <w:sz w:val="27"/>
          <w:szCs w:val="27"/>
        </w:rPr>
      </w:pPr>
      <w:r>
        <w:rPr>
          <w:rFonts w:eastAsia="Calibri" w:cs="Times New Roman" w:ascii="Times New Roman" w:hAnsi="Times New Roman"/>
          <w:b/>
          <w:sz w:val="27"/>
          <w:szCs w:val="27"/>
        </w:rPr>
        <w:t>Отчет о мероприятиях разного уровня за 2022учебный год</w:t>
      </w:r>
    </w:p>
    <w:tbl>
      <w:tblPr>
        <w:tblStyle w:val="ab"/>
        <w:tblW w:w="97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95"/>
        <w:gridCol w:w="3453"/>
        <w:gridCol w:w="2561"/>
        <w:gridCol w:w="3269"/>
      </w:tblGrid>
      <w:tr>
        <w:trPr>
          <w:trHeight w:val="897" w:hRule="atLeast"/>
        </w:trPr>
        <w:tc>
          <w:tcPr>
            <w:tcW w:w="495" w:type="dxa"/>
            <w:tcBorders>
              <w:bottom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7"/>
                <w:szCs w:val="27"/>
                <w:lang w:val="ru-RU" w:eastAsia="en-US" w:bidi="ar-SA"/>
              </w:rPr>
              <w:t>№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7"/>
                <w:szCs w:val="27"/>
                <w:lang w:val="ru-RU" w:eastAsia="en-US" w:bidi="ar-SA"/>
              </w:rPr>
              <w:t>п/п</w:t>
            </w:r>
          </w:p>
        </w:tc>
        <w:tc>
          <w:tcPr>
            <w:tcW w:w="3453" w:type="dxa"/>
            <w:tcBorders>
              <w:bottom w:val="nil"/>
            </w:tcBorders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7"/>
                <w:szCs w:val="27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7"/>
                <w:szCs w:val="27"/>
                <w:lang w:val="ru-RU" w:eastAsia="en-US" w:bidi="ar-SA"/>
              </w:rPr>
              <w:t>Наименование мероприятия</w:t>
            </w:r>
          </w:p>
        </w:tc>
        <w:tc>
          <w:tcPr>
            <w:tcW w:w="2561" w:type="dxa"/>
            <w:tcBorders>
              <w:bottom w:val="nil"/>
            </w:tcBorders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7"/>
                <w:szCs w:val="27"/>
                <w:lang w:val="ru-RU" w:eastAsia="en-US" w:bidi="ar-SA"/>
              </w:rPr>
              <w:t xml:space="preserve">                  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7"/>
                <w:szCs w:val="27"/>
                <w:lang w:val="ru-RU" w:eastAsia="en-US" w:bidi="ar-SA"/>
              </w:rPr>
              <w:t>Уровень</w:t>
            </w:r>
          </w:p>
        </w:tc>
        <w:tc>
          <w:tcPr>
            <w:tcW w:w="3269" w:type="dxa"/>
            <w:tcBorders>
              <w:bottom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7"/>
                <w:szCs w:val="27"/>
                <w:lang w:val="ru-RU" w:eastAsia="en-US" w:bidi="ar-SA"/>
              </w:rPr>
              <w:t>Результат участия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b/>
                <w:b/>
                <w:sz w:val="27"/>
                <w:szCs w:val="27"/>
              </w:rPr>
            </w:pPr>
            <w:r>
              <w:rPr>
                <w:rFonts w:eastAsia="Calibri"/>
                <w:kern w:val="0"/>
                <w:lang w:val="ru-RU" w:eastAsia="en-US" w:bidi="ar-SA"/>
              </w:rPr>
            </w:r>
          </w:p>
        </w:tc>
      </w:tr>
      <w:tr>
        <w:trPr>
          <w:trHeight w:val="78" w:hRule="atLeast"/>
        </w:trPr>
        <w:tc>
          <w:tcPr>
            <w:tcW w:w="495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3453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61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3269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973" w:hRule="atLeast"/>
        </w:trPr>
        <w:tc>
          <w:tcPr>
            <w:tcW w:w="495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1.</w:t>
            </w:r>
          </w:p>
        </w:tc>
        <w:tc>
          <w:tcPr>
            <w:tcW w:w="3453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«Новогодние фантазии»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61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7"/>
                <w:szCs w:val="27"/>
                <w:lang w:val="ru-RU" w:eastAsia="en-US" w:bidi="ar-SA"/>
              </w:rPr>
              <w:t>муниципальный</w:t>
            </w:r>
          </w:p>
        </w:tc>
        <w:tc>
          <w:tcPr>
            <w:tcW w:w="3269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Грамота,2, 3 место</w:t>
            </w:r>
          </w:p>
        </w:tc>
      </w:tr>
      <w:tr>
        <w:trPr>
          <w:trHeight w:val="718" w:hRule="atLeast"/>
        </w:trPr>
        <w:tc>
          <w:tcPr>
            <w:tcW w:w="495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2.</w:t>
            </w:r>
          </w:p>
        </w:tc>
        <w:tc>
          <w:tcPr>
            <w:tcW w:w="345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Акция «Новогодние окна»</w:t>
            </w:r>
          </w:p>
        </w:tc>
        <w:tc>
          <w:tcPr>
            <w:tcW w:w="256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7"/>
                <w:szCs w:val="27"/>
                <w:lang w:val="ru-RU" w:eastAsia="en-US" w:bidi="ar-SA"/>
              </w:rPr>
              <w:t>муниципальный</w:t>
            </w:r>
          </w:p>
        </w:tc>
        <w:tc>
          <w:tcPr>
            <w:tcW w:w="3269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Сертификат</w:t>
            </w:r>
          </w:p>
        </w:tc>
      </w:tr>
      <w:tr>
        <w:trPr>
          <w:trHeight w:val="1333" w:hRule="atLeast"/>
        </w:trPr>
        <w:tc>
          <w:tcPr>
            <w:tcW w:w="49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3.</w:t>
            </w:r>
          </w:p>
        </w:tc>
        <w:tc>
          <w:tcPr>
            <w:tcW w:w="3453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Конкурс на лучшее украшение групповой комнаты «Новогоднее настроение»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6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7"/>
                <w:szCs w:val="27"/>
                <w:lang w:val="ru-RU" w:eastAsia="en-US" w:bidi="ar-SA"/>
              </w:rPr>
              <w:t>муниципальный</w:t>
            </w:r>
          </w:p>
        </w:tc>
        <w:tc>
          <w:tcPr>
            <w:tcW w:w="326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Сертификат</w:t>
            </w:r>
          </w:p>
        </w:tc>
      </w:tr>
      <w:tr>
        <w:trPr>
          <w:trHeight w:val="643" w:hRule="atLeast"/>
        </w:trPr>
        <w:tc>
          <w:tcPr>
            <w:tcW w:w="495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4.</w:t>
            </w:r>
          </w:p>
        </w:tc>
        <w:tc>
          <w:tcPr>
            <w:tcW w:w="3453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Фотоконкурс «Самый красивый ребёнок»</w:t>
            </w:r>
          </w:p>
        </w:tc>
        <w:tc>
          <w:tcPr>
            <w:tcW w:w="2561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7"/>
                <w:szCs w:val="27"/>
                <w:lang w:val="ru-RU" w:eastAsia="en-US" w:bidi="ar-SA"/>
              </w:rPr>
              <w:t>Всероссийский уровень</w:t>
            </w:r>
          </w:p>
        </w:tc>
        <w:tc>
          <w:tcPr>
            <w:tcW w:w="3269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Сертификат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9778" w:type="dxa"/>
            <w:gridSpan w:val="4"/>
            <w:tcBorders>
              <w:bottom w:val="nil"/>
            </w:tcBorders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698" w:hRule="atLeast"/>
        </w:trPr>
        <w:tc>
          <w:tcPr>
            <w:tcW w:w="495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5.</w:t>
            </w:r>
          </w:p>
        </w:tc>
        <w:tc>
          <w:tcPr>
            <w:tcW w:w="345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Конкурс рисунков по ПДБ «Мой папа и я за безопасные дороги»</w:t>
            </w:r>
          </w:p>
        </w:tc>
        <w:tc>
          <w:tcPr>
            <w:tcW w:w="2561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7"/>
                <w:szCs w:val="27"/>
                <w:lang w:val="ru-RU" w:eastAsia="en-US" w:bidi="ar-SA"/>
              </w:rPr>
              <w:t>Всероссийский уровень</w:t>
            </w:r>
          </w:p>
        </w:tc>
        <w:tc>
          <w:tcPr>
            <w:tcW w:w="326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Дипломы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</w:r>
    </w:p>
    <w:tbl>
      <w:tblPr>
        <w:tblW w:w="961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814"/>
        <w:gridCol w:w="31"/>
        <w:gridCol w:w="3946"/>
        <w:gridCol w:w="12"/>
        <w:gridCol w:w="2369"/>
        <w:gridCol w:w="10"/>
        <w:gridCol w:w="22"/>
        <w:gridCol w:w="2407"/>
      </w:tblGrid>
      <w:tr>
        <w:trPr>
          <w:trHeight w:val="508" w:hRule="atLeast"/>
        </w:trPr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sz w:val="27"/>
                <w:szCs w:val="27"/>
              </w:rPr>
              <w:t>№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sz w:val="27"/>
                <w:szCs w:val="27"/>
              </w:rPr>
              <w:t>п/п</w:t>
            </w:r>
          </w:p>
        </w:tc>
        <w:tc>
          <w:tcPr>
            <w:tcW w:w="3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sz w:val="27"/>
                <w:szCs w:val="27"/>
              </w:rPr>
              <w:t>Наименование конкурса</w:t>
            </w:r>
          </w:p>
        </w:tc>
        <w:tc>
          <w:tcPr>
            <w:tcW w:w="2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sz w:val="27"/>
                <w:szCs w:val="27"/>
              </w:rPr>
              <w:t>Ф.И.О.педагога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sz w:val="27"/>
                <w:szCs w:val="27"/>
              </w:rPr>
              <w:t>Результат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sz w:val="27"/>
                <w:szCs w:val="27"/>
              </w:rPr>
              <w:t xml:space="preserve"> </w:t>
            </w:r>
            <w:r>
              <w:rPr>
                <w:rFonts w:eastAsia="Calibri" w:cs="Times New Roman" w:ascii="Times New Roman" w:hAnsi="Times New Roman"/>
                <w:b/>
                <w:sz w:val="27"/>
                <w:szCs w:val="27"/>
              </w:rPr>
              <w:t>участия</w:t>
            </w:r>
          </w:p>
        </w:tc>
      </w:tr>
      <w:tr>
        <w:trPr>
          <w:trHeight w:val="234" w:hRule="atLeast"/>
        </w:trPr>
        <w:tc>
          <w:tcPr>
            <w:tcW w:w="961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sz w:val="27"/>
                <w:szCs w:val="27"/>
              </w:rPr>
              <w:t>Муниципальный уровень</w:t>
            </w:r>
          </w:p>
        </w:tc>
      </w:tr>
      <w:tr>
        <w:trPr>
          <w:trHeight w:val="240" w:hRule="atLeas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1.</w:t>
            </w:r>
          </w:p>
        </w:tc>
        <w:tc>
          <w:tcPr>
            <w:tcW w:w="3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Педагогическая конференция «Педагогическое мастерство-2022»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Антоненко Ф.Ж.</w:t>
            </w:r>
          </w:p>
        </w:tc>
        <w:tc>
          <w:tcPr>
            <w:tcW w:w="24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Сертификат</w:t>
            </w:r>
          </w:p>
        </w:tc>
      </w:tr>
      <w:tr>
        <w:trPr>
          <w:trHeight w:val="315" w:hRule="atLeas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</w:r>
          </w:p>
        </w:tc>
        <w:tc>
          <w:tcPr>
            <w:tcW w:w="3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</w:r>
          </w:p>
        </w:tc>
        <w:tc>
          <w:tcPr>
            <w:tcW w:w="24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</w:r>
          </w:p>
        </w:tc>
      </w:tr>
      <w:tr>
        <w:trPr>
          <w:trHeight w:val="285" w:hRule="atLeast"/>
        </w:trPr>
        <w:tc>
          <w:tcPr>
            <w:tcW w:w="961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7"/>
                <w:szCs w:val="27"/>
              </w:rPr>
            </w:pPr>
            <w:r>
              <w:rPr>
                <w:rFonts w:cs="Times New Roman" w:ascii="Times New Roman" w:hAnsi="Times New Roman"/>
                <w:b/>
                <w:sz w:val="27"/>
                <w:szCs w:val="27"/>
                <w:lang w:eastAsia="en-US"/>
              </w:rPr>
              <w:t>Региональный уровень</w:t>
            </w:r>
          </w:p>
        </w:tc>
      </w:tr>
      <w:tr>
        <w:trPr>
          <w:trHeight w:val="712" w:hRule="atLeas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1</w:t>
            </w:r>
            <w:r>
              <w:rPr>
                <w:rFonts w:eastAsia="Calibri" w:cs="Times New Roman" w:ascii="Times New Roman" w:hAnsi="Times New Roman"/>
                <w:b/>
                <w:sz w:val="27"/>
                <w:szCs w:val="27"/>
              </w:rPr>
              <w:t>.</w:t>
            </w:r>
          </w:p>
        </w:tc>
        <w:tc>
          <w:tcPr>
            <w:tcW w:w="3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cs="Times New Roman" w:ascii="Times New Roman" w:hAnsi="Times New Roman"/>
                <w:sz w:val="27"/>
                <w:szCs w:val="27"/>
              </w:rPr>
              <w:t>«Молодежь выбирает будущее»</w:t>
            </w:r>
          </w:p>
        </w:tc>
        <w:tc>
          <w:tcPr>
            <w:tcW w:w="2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Бутузова О.С.</w:t>
            </w:r>
          </w:p>
        </w:tc>
        <w:tc>
          <w:tcPr>
            <w:tcW w:w="2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Сертификат</w:t>
            </w:r>
          </w:p>
        </w:tc>
      </w:tr>
      <w:tr>
        <w:trPr>
          <w:trHeight w:val="380" w:hRule="atLeas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2.</w:t>
            </w:r>
          </w:p>
        </w:tc>
        <w:tc>
          <w:tcPr>
            <w:tcW w:w="3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12 онлайн- конференция фестиваля «Воспитатели России»</w:t>
            </w:r>
          </w:p>
        </w:tc>
        <w:tc>
          <w:tcPr>
            <w:tcW w:w="2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Пилюгина Л.В.</w:t>
            </w:r>
          </w:p>
        </w:tc>
        <w:tc>
          <w:tcPr>
            <w:tcW w:w="2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Сертификат</w:t>
            </w:r>
          </w:p>
        </w:tc>
      </w:tr>
      <w:tr>
        <w:trPr>
          <w:trHeight w:val="253" w:hRule="atLeast"/>
        </w:trPr>
        <w:tc>
          <w:tcPr>
            <w:tcW w:w="961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b/>
                <w:sz w:val="27"/>
                <w:szCs w:val="27"/>
              </w:rPr>
              <w:t>Всероссийский уровень</w:t>
            </w:r>
          </w:p>
        </w:tc>
      </w:tr>
      <w:tr>
        <w:trPr>
          <w:trHeight w:val="261" w:hRule="atLeast"/>
        </w:trPr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1.</w:t>
            </w:r>
          </w:p>
        </w:tc>
        <w:tc>
          <w:tcPr>
            <w:tcW w:w="3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«День Победы»</w:t>
            </w:r>
          </w:p>
        </w:tc>
        <w:tc>
          <w:tcPr>
            <w:tcW w:w="2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Антоненко Ф.Ж.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Диплом(1 место)</w:t>
            </w:r>
          </w:p>
        </w:tc>
      </w:tr>
      <w:tr>
        <w:trPr>
          <w:trHeight w:val="585" w:hRule="atLeast"/>
        </w:trPr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2.</w:t>
            </w:r>
          </w:p>
        </w:tc>
        <w:tc>
          <w:tcPr>
            <w:tcW w:w="3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Олимпиада «Игровая деятельность»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</w:r>
          </w:p>
        </w:tc>
        <w:tc>
          <w:tcPr>
            <w:tcW w:w="2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Белякова М.В.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Диплом(1 место)</w:t>
            </w:r>
          </w:p>
        </w:tc>
      </w:tr>
      <w:tr>
        <w:trPr>
          <w:trHeight w:val="595" w:hRule="atLeast"/>
        </w:trPr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3.</w:t>
            </w:r>
          </w:p>
        </w:tc>
        <w:tc>
          <w:tcPr>
            <w:tcW w:w="3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«Воспитатели России»  «Верность профессии»2023г.</w:t>
            </w:r>
          </w:p>
        </w:tc>
        <w:tc>
          <w:tcPr>
            <w:tcW w:w="2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Пилюгина Л.В.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sz w:val="27"/>
                <w:szCs w:val="27"/>
              </w:rPr>
              <w:t>Сертификат</w:t>
            </w:r>
          </w:p>
        </w:tc>
      </w:tr>
    </w:tbl>
    <w:p>
      <w:pPr>
        <w:pStyle w:val="Normal"/>
        <w:spacing w:before="0" w:after="0"/>
        <w:rPr>
          <w:rFonts w:ascii="Times New Roman" w:hAnsi="Times New Roman" w:cs="Times New Roman"/>
          <w:b/>
          <w:b/>
          <w:sz w:val="27"/>
          <w:szCs w:val="27"/>
          <w:highlight w:val="yellow"/>
        </w:rPr>
      </w:pPr>
      <w:r>
        <w:rPr>
          <w:rFonts w:cs="Times New Roman" w:ascii="Times New Roman" w:hAnsi="Times New Roman"/>
          <w:b/>
          <w:sz w:val="27"/>
          <w:szCs w:val="27"/>
          <w:highlight w:val="yellow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 xml:space="preserve">ВЫВОД: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В конкурсах на муниципальном уровне  участвовало: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Участников 20 из 22-80%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Победителей – 4 из 22-20%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В конкурсах на всероссийском   уровне  участвовало: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6 воспитанника из 22-20 %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Победителей – 6 из 22-20 %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Педагоги принимали участие в конкурсах: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на муниципальном уровне  -4 педагога из 4 -100%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на региональном  уровне  4педагога из 4-100%,на всероссийском уровне-2 педагога из 4-50%.</w:t>
      </w:r>
    </w:p>
    <w:p>
      <w:pPr>
        <w:pStyle w:val="Normal"/>
        <w:spacing w:lineRule="auto" w:line="240" w:before="0" w:after="0"/>
        <w:ind w:left="1080" w:hanging="0"/>
        <w:rPr>
          <w:rFonts w:ascii="Times New Roman" w:hAnsi="Times New Roman" w:eastAsia="Calibri" w:cs="Times New Roman"/>
          <w:b/>
          <w:b/>
          <w:sz w:val="27"/>
          <w:szCs w:val="27"/>
        </w:rPr>
      </w:pPr>
      <w:r>
        <w:rPr>
          <w:rFonts w:eastAsia="Calibri" w:cs="Times New Roman" w:ascii="Times New Roman" w:hAnsi="Times New Roman"/>
          <w:b/>
          <w:sz w:val="27"/>
          <w:szCs w:val="27"/>
        </w:rPr>
        <w:t>5.Оценка кадрового обеспечения</w:t>
      </w:r>
    </w:p>
    <w:p>
      <w:pPr>
        <w:pStyle w:val="Normal"/>
        <w:ind w:firstLine="708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Количество сотрудников по штатному расписанию составляет 11 ед., фактическое количество -  на 31.12.2023 года – 13 человек. Обслуживающий персонал - составляет 69% от общего количества сотрудников. На сегодняшний день в учреждении трудятся 4 педагога, 1 совмещает 0,5 ставки музыкального руководителя.</w:t>
      </w:r>
    </w:p>
    <w:p>
      <w:pPr>
        <w:pStyle w:val="Normal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 xml:space="preserve">Высшее педагогическое образование </w:t>
      </w:r>
      <w:r>
        <w:rPr>
          <w:rFonts w:cs="Times New Roman" w:ascii="Times New Roman" w:hAnsi="Times New Roman"/>
          <w:sz w:val="27"/>
          <w:szCs w:val="27"/>
        </w:rPr>
        <w:t>имеют  – 3 человек (60%);</w:t>
      </w:r>
    </w:p>
    <w:p>
      <w:pPr>
        <w:pStyle w:val="Normal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Среднее специальное</w:t>
      </w:r>
      <w:r>
        <w:rPr>
          <w:rFonts w:cs="Times New Roman" w:ascii="Times New Roman" w:hAnsi="Times New Roman"/>
          <w:sz w:val="27"/>
          <w:szCs w:val="27"/>
        </w:rPr>
        <w:t xml:space="preserve"> – 2 человека (40%). </w:t>
      </w:r>
    </w:p>
    <w:p>
      <w:pPr>
        <w:pStyle w:val="NormalWeb"/>
        <w:shd w:val="clear" w:color="auto" w:fill="FFFFFF"/>
        <w:spacing w:lineRule="atLeast" w:line="300" w:beforeAutospacing="0" w:before="0" w:afterAutospacing="0" w:after="0"/>
        <w:jc w:val="both"/>
        <w:rPr>
          <w:sz w:val="27"/>
          <w:szCs w:val="27"/>
        </w:rPr>
      </w:pPr>
      <w:r>
        <w:rPr>
          <w:b/>
          <w:sz w:val="27"/>
          <w:szCs w:val="27"/>
        </w:rPr>
        <w:t>Высшую квалификационную категорию</w:t>
      </w:r>
      <w:r>
        <w:rPr>
          <w:sz w:val="27"/>
          <w:szCs w:val="27"/>
        </w:rPr>
        <w:t xml:space="preserve"> имеют 0 чел. (%);</w:t>
      </w:r>
    </w:p>
    <w:p>
      <w:pPr>
        <w:pStyle w:val="NormalWeb"/>
        <w:shd w:val="clear" w:color="auto" w:fill="FFFFFF"/>
        <w:spacing w:lineRule="atLeast" w:line="300" w:beforeAutospacing="0" w:before="0" w:afterAutospacing="0" w:after="0"/>
        <w:jc w:val="both"/>
        <w:rPr>
          <w:sz w:val="27"/>
          <w:szCs w:val="27"/>
        </w:rPr>
      </w:pPr>
      <w:r>
        <w:rPr>
          <w:b/>
          <w:sz w:val="27"/>
          <w:szCs w:val="27"/>
        </w:rPr>
        <w:t>первую</w:t>
      </w:r>
      <w:r>
        <w:rPr>
          <w:sz w:val="27"/>
          <w:szCs w:val="27"/>
        </w:rPr>
        <w:t xml:space="preserve"> – 4 человек (80%);</w:t>
      </w:r>
    </w:p>
    <w:p>
      <w:pPr>
        <w:pStyle w:val="NormalWeb"/>
        <w:shd w:val="clear" w:color="auto" w:fill="FFFFFF"/>
        <w:spacing w:lineRule="atLeast" w:line="300" w:beforeAutospacing="0" w:before="0" w:afterAutospacing="0" w:after="0"/>
        <w:jc w:val="both"/>
        <w:rPr>
          <w:sz w:val="27"/>
          <w:szCs w:val="27"/>
        </w:rPr>
      </w:pPr>
      <w:r>
        <w:rPr>
          <w:b/>
          <w:sz w:val="27"/>
          <w:szCs w:val="27"/>
        </w:rPr>
        <w:t xml:space="preserve">соответствие </w:t>
      </w:r>
      <w:r>
        <w:rPr>
          <w:sz w:val="27"/>
          <w:szCs w:val="27"/>
        </w:rPr>
        <w:t xml:space="preserve">– 1 человек (20%), </w:t>
      </w:r>
    </w:p>
    <w:p>
      <w:pPr>
        <w:pStyle w:val="NormalWeb"/>
        <w:shd w:val="clear" w:color="auto" w:fill="FFFFFF"/>
        <w:spacing w:lineRule="atLeast" w:line="300" w:beforeAutospacing="0" w:before="0" w:afterAutospacing="0" w:after="0"/>
        <w:jc w:val="both"/>
        <w:rPr>
          <w:sz w:val="27"/>
          <w:szCs w:val="27"/>
        </w:rPr>
      </w:pPr>
      <w:r>
        <w:rPr>
          <w:b/>
          <w:sz w:val="27"/>
          <w:szCs w:val="27"/>
        </w:rPr>
        <w:t>без категории</w:t>
      </w:r>
      <w:r>
        <w:rPr>
          <w:sz w:val="27"/>
          <w:szCs w:val="27"/>
        </w:rPr>
        <w:t xml:space="preserve"> – 0 человек (%).</w:t>
      </w:r>
    </w:p>
    <w:tbl>
      <w:tblPr>
        <w:tblStyle w:val="ab"/>
        <w:tblpPr w:vertAnchor="text" w:horzAnchor="margin" w:leftFromText="180" w:rightFromText="180" w:tblpX="0" w:tblpY="68"/>
        <w:tblW w:w="9571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392"/>
        <w:gridCol w:w="2393"/>
        <w:gridCol w:w="2393"/>
        <w:gridCol w:w="2392"/>
      </w:tblGrid>
      <w:tr>
        <w:trPr/>
        <w:tc>
          <w:tcPr>
            <w:tcW w:w="239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Должность</w:t>
            </w:r>
          </w:p>
        </w:tc>
        <w:tc>
          <w:tcPr>
            <w:tcW w:w="23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Количество сотрудников</w:t>
            </w:r>
          </w:p>
        </w:tc>
        <w:tc>
          <w:tcPr>
            <w:tcW w:w="23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Аттестационная категория</w:t>
            </w:r>
          </w:p>
        </w:tc>
        <w:tc>
          <w:tcPr>
            <w:tcW w:w="239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Стаж работы</w:t>
            </w:r>
          </w:p>
        </w:tc>
      </w:tr>
      <w:tr>
        <w:trPr/>
        <w:tc>
          <w:tcPr>
            <w:tcW w:w="239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Заведующий</w:t>
            </w:r>
          </w:p>
        </w:tc>
        <w:tc>
          <w:tcPr>
            <w:tcW w:w="23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1</w:t>
            </w:r>
          </w:p>
        </w:tc>
        <w:tc>
          <w:tcPr>
            <w:tcW w:w="23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соответствие</w:t>
            </w:r>
          </w:p>
        </w:tc>
        <w:tc>
          <w:tcPr>
            <w:tcW w:w="239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24</w:t>
            </w:r>
          </w:p>
        </w:tc>
      </w:tr>
      <w:tr>
        <w:trPr/>
        <w:tc>
          <w:tcPr>
            <w:tcW w:w="239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Воспитатели</w:t>
            </w:r>
          </w:p>
        </w:tc>
        <w:tc>
          <w:tcPr>
            <w:tcW w:w="23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4</w:t>
            </w:r>
          </w:p>
        </w:tc>
        <w:tc>
          <w:tcPr>
            <w:tcW w:w="23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первая</w:t>
            </w:r>
          </w:p>
        </w:tc>
        <w:tc>
          <w:tcPr>
            <w:tcW w:w="239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от 22 - 32</w:t>
            </w:r>
          </w:p>
        </w:tc>
      </w:tr>
      <w:tr>
        <w:trPr/>
        <w:tc>
          <w:tcPr>
            <w:tcW w:w="239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Музыкальный руководитель</w:t>
            </w:r>
          </w:p>
        </w:tc>
        <w:tc>
          <w:tcPr>
            <w:tcW w:w="23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совмещение</w:t>
            </w:r>
          </w:p>
        </w:tc>
        <w:tc>
          <w:tcPr>
            <w:tcW w:w="239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39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eastAsia="Calibri" w:cs="Times New Roman" w:ascii="Times New Roman" w:hAnsi="Times New Roman"/>
                <w:kern w:val="0"/>
                <w:sz w:val="27"/>
                <w:szCs w:val="27"/>
                <w:lang w:val="ru-RU" w:eastAsia="en-US" w:bidi="ar-SA"/>
              </w:rPr>
              <w:t>8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eastAsia="Calibri" w:cs="Times New Roman"/>
          <w:b/>
          <w:b/>
          <w:sz w:val="27"/>
          <w:szCs w:val="27"/>
        </w:rPr>
      </w:pPr>
      <w:r>
        <w:rPr>
          <w:rFonts w:eastAsia="Calibri"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Calibri" w:cs="Times New Roman"/>
          <w:b/>
          <w:b/>
          <w:sz w:val="27"/>
          <w:szCs w:val="27"/>
        </w:rPr>
      </w:pPr>
      <w:r>
        <w:rPr>
          <w:rFonts w:eastAsia="Calibri" w:cs="Times New Roman" w:ascii="Times New Roman" w:hAnsi="Times New Roman"/>
          <w:b/>
          <w:sz w:val="27"/>
          <w:szCs w:val="27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i/>
          <w:i/>
          <w:sz w:val="27"/>
          <w:szCs w:val="27"/>
        </w:rPr>
      </w:pPr>
      <w:r>
        <w:rPr>
          <w:rFonts w:cs="Times New Roman" w:ascii="Times New Roman" w:hAnsi="Times New Roman"/>
          <w:i/>
          <w:sz w:val="27"/>
          <w:szCs w:val="27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6. Оценка учебно-методического обеспечения</w:t>
      </w:r>
    </w:p>
    <w:p>
      <w:pPr>
        <w:pStyle w:val="NoSpacing"/>
        <w:ind w:firstLine="709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Учебно-методическое обеспечение образовательного процесса – это совокупность методических учебных материалов, используемых в процессе обучения. Образовательная деятельность в ДОУ строится на основе Программы ДОУ. Для эффективного решения образовательных задач по пяти образовательным областям используются программы, технологии и методические пособия, которые находятся в методическом кабинете ДОУ.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7.Оценка материально-технической базы</w:t>
      </w:r>
    </w:p>
    <w:p>
      <w:pPr>
        <w:pStyle w:val="Normal"/>
        <w:spacing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          </w:t>
      </w:r>
      <w:r>
        <w:rPr>
          <w:rFonts w:cs="Times New Roman" w:ascii="Times New Roman" w:hAnsi="Times New Roman"/>
          <w:sz w:val="27"/>
          <w:szCs w:val="27"/>
        </w:rPr>
        <w:t>Здание МДОУ находится в центре села.  Озеленение территории муниципального дошкольного образовательного учреждения предусмотрено из расчета не менее 50% площади территории, свободной от застройки.  На территории дошкольной организации расположена игровые  и хозяйственная зона. Зона групповых площадок покрыта травяным и утрамбованным грунтом.</w:t>
      </w:r>
    </w:p>
    <w:p>
      <w:pPr>
        <w:pStyle w:val="Normal"/>
        <w:widowControl w:val="false"/>
        <w:tabs>
          <w:tab w:val="clear" w:pos="708"/>
          <w:tab w:val="left" w:pos="284" w:leader="none"/>
        </w:tabs>
        <w:spacing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Муниципальное дошкольное образовательное учреждение «Детский сад п. Белоярский» находится в здании общей площадью538,2 кв.м. Большая часть здания требует постоянного косметического ремонта или обновления. Ежегодно в здании проводится косметический ремонт. Состояние учебно-методической базы ДОУ по мере возможности  пополняется. В настоящее время в дошкольном учреждении имеются:телевизоры -2 шт, магнитофон, музыкальный центр, </w:t>
      </w:r>
      <w:r>
        <w:rPr>
          <w:rFonts w:cs="Times New Roman" w:ascii="Times New Roman" w:hAnsi="Times New Roman"/>
          <w:sz w:val="27"/>
          <w:szCs w:val="27"/>
          <w:lang w:val="en-US"/>
        </w:rPr>
        <w:t>DVD</w:t>
      </w:r>
      <w:r>
        <w:rPr>
          <w:rFonts w:cs="Times New Roman" w:ascii="Times New Roman" w:hAnsi="Times New Roman"/>
          <w:sz w:val="27"/>
          <w:szCs w:val="27"/>
        </w:rPr>
        <w:t>, 1 микрофон. Задача оснащения развивающей предметно-пространственной среды ДОУ остается одной из главных. В группах необходимо  пополнять демонстрационный материал по художественно-эстетическому направлению (картины, музыкальные инструменты, предметы декоративно-прикладного искусства).</w:t>
      </w:r>
    </w:p>
    <w:p>
      <w:pPr>
        <w:pStyle w:val="Normal"/>
        <w:widowControl w:val="false"/>
        <w:tabs>
          <w:tab w:val="clear" w:pos="708"/>
          <w:tab w:val="left" w:pos="284" w:leader="none"/>
        </w:tabs>
        <w:spacing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Непосредственно образовательная деятельность осуществляется в групповых.  Групповые имеют отдельный вход, располагаются в изолированном помещении – групповой ячейке. В состав   групп входит: приёмная, групповая, спальня, туалетная комната совмещена с умывальной.</w:t>
      </w:r>
    </w:p>
    <w:p>
      <w:pPr>
        <w:pStyle w:val="Normal"/>
        <w:widowControl w:val="false"/>
        <w:tabs>
          <w:tab w:val="clear" w:pos="708"/>
          <w:tab w:val="left" w:pos="284" w:leader="none"/>
        </w:tabs>
        <w:spacing w:before="0" w:after="0"/>
        <w:rPr>
          <w:rFonts w:ascii="Times New Roman" w:hAnsi="Times New Roman" w:cs="Times New Roman"/>
          <w:bCs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Групповые помещения оформлены в соответствии с возрастными особенностями детей, требованиями программы, СанПин. В группах, в соответствии  с возрастными  и  индивидуальными  особенностями  детей выделены уголки развития: игровой,  литературный, строительно-конструктивных игр,  ИЗО-деятельности,  физической культуры,  творческая мастерская, уголки по пожарной безопасности, правилам дорожного движенияи т.д. В приёмных оформлены уголки для родителей. </w:t>
      </w:r>
    </w:p>
    <w:p>
      <w:pPr>
        <w:pStyle w:val="Normal"/>
        <w:widowControl w:val="false"/>
        <w:tabs>
          <w:tab w:val="clear" w:pos="708"/>
          <w:tab w:val="left" w:pos="284" w:leader="none"/>
        </w:tabs>
        <w:spacing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Учебно-методический комплекс представлен следующими кабинетами: кабинет заведующего, в котором располагается и методический уголок. </w:t>
      </w:r>
    </w:p>
    <w:p>
      <w:pPr>
        <w:pStyle w:val="Normal"/>
        <w:widowControl w:val="false"/>
        <w:tabs>
          <w:tab w:val="clear" w:pos="708"/>
          <w:tab w:val="left" w:pos="284" w:leader="none"/>
        </w:tabs>
        <w:spacing w:before="0" w:after="0"/>
        <w:rPr>
          <w:rFonts w:ascii="Times New Roman" w:hAnsi="Times New Roman" w:cs="Times New Roman"/>
          <w:bCs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Для обеспечения  физического развития на территории  имеется  физкультурная площадка с травяным покрытием, оборудованная спортивно-развивающими элементами и т.п.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В 2023 году детский сад провел текущий  косметический ремонт в групповых, приемной, физкультурном зале. 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>
      <w:pPr>
        <w:pStyle w:val="NoSpacing"/>
        <w:rPr>
          <w:rFonts w:ascii="Times New Roman" w:hAnsi="Times New Roman"/>
          <w:b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8.Финансово- экономические показатели МДОУ</w:t>
      </w:r>
    </w:p>
    <w:p>
      <w:pPr>
        <w:pStyle w:val="Normal"/>
        <w:shd w:val="clear" w:color="auto" w:fill="FFFFFF"/>
        <w:spacing w:lineRule="atLeast" w:line="260" w:before="0" w:after="150"/>
        <w:ind w:firstLine="567"/>
        <w:rPr>
          <w:rFonts w:ascii="Times New Roman" w:hAnsi="Times New Roman" w:eastAsia="Times New Roman" w:cs="Times New Roman"/>
          <w:color w:val="474646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Успешная деятельность детского сада во многом зависит от создания условий. Наше образовательное учреждение финансируются из бюджетных средств, которые ежегодно выделяются на основании муниципального задания согласно плана финансово-хозяйственной деятельности, что позволяет обеспечивать стабильное функционирование и развитие. Административно – хозяйственная работа в учреждении в первую очередь была направлена на обеспечение жизнедеятельности учреждения, создание безопасных условий для ведения образовательного процесса, создание и укрепление материально технической базы. Для бесперебойного функционирования учреждения своевременно с начала текущего года заключены договоры на коммунальные услуги, услуги по содержанию учреждения, поставку и приобретение товаров, продуктов питания.</w:t>
      </w:r>
    </w:p>
    <w:p>
      <w:pPr>
        <w:pStyle w:val="Normal"/>
        <w:shd w:val="clear" w:color="auto" w:fill="FFFFFF"/>
        <w:spacing w:lineRule="atLeast" w:line="260" w:before="0" w:after="150"/>
        <w:ind w:firstLine="567"/>
        <w:rPr>
          <w:rFonts w:ascii="Times New Roman" w:hAnsi="Times New Roman" w:eastAsia="Times New Roman" w:cs="Times New Roman"/>
          <w:color w:val="474646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Большое значение коллектив детского сада придает комфортности окружающей среды. Эстетичность, многофункциональность размещения оборудования и мебели создают условия для обеспечения эмоционального благополучия детей и положительного микроклимата в группе.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9.Результаты анализа показателей деятельности организации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Анализ показателей указывает на то, что детский сад имеет достаточную инфраструктуру, которая соответствует требованиям СанПиН 2.3/2.4.3590-20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cs="Times New Roman" w:ascii="Times New Roman" w:hAnsi="Times New Roman"/>
          <w:color w:val="000000"/>
          <w:sz w:val="27"/>
          <w:szCs w:val="27"/>
        </w:rPr>
        <w:t xml:space="preserve">Деятельность, осуществляемая МДОУ, имеет перспективу к углублению и расширению за счет совершенствования содержания, методического и материального обеспечения, а также научно-педагогического сопровождения.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cs="Times New Roman" w:ascii="Times New Roman" w:hAnsi="Times New Roman"/>
          <w:color w:val="000000"/>
          <w:sz w:val="27"/>
          <w:szCs w:val="27"/>
        </w:rPr>
        <w:t xml:space="preserve">Мы видим перспективы развития в следующем: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cs="Times New Roman" w:ascii="Times New Roman" w:hAnsi="Times New Roman"/>
          <w:color w:val="000000"/>
          <w:sz w:val="27"/>
          <w:szCs w:val="27"/>
        </w:rPr>
        <w:t xml:space="preserve">- пополнении игрового оборудования для прогулочных площадок,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cs="Times New Roman" w:ascii="Times New Roman" w:hAnsi="Times New Roman"/>
          <w:color w:val="000000"/>
          <w:sz w:val="27"/>
          <w:szCs w:val="27"/>
        </w:rPr>
        <w:t xml:space="preserve">- обновлении игрового фонда возрастных групп, </w:t>
      </w:r>
    </w:p>
    <w:p>
      <w:pPr>
        <w:pStyle w:val="Normal"/>
        <w:tabs>
          <w:tab w:val="clear" w:pos="708"/>
          <w:tab w:val="left" w:pos="284" w:leader="none"/>
        </w:tabs>
        <w:spacing w:before="0" w:after="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cs="Times New Roman" w:ascii="Times New Roman" w:hAnsi="Times New Roman"/>
          <w:color w:val="000000"/>
          <w:sz w:val="27"/>
          <w:szCs w:val="27"/>
        </w:rPr>
        <w:t>- приобретение нового современного компьютерного, интерактивного оборудования, для повышения качества образовательного процесса и достижения высокого уровня оказания образовательных услуг в ДОУ,</w:t>
      </w:r>
    </w:p>
    <w:p>
      <w:pPr>
        <w:pStyle w:val="Normal"/>
        <w:tabs>
          <w:tab w:val="clear" w:pos="708"/>
          <w:tab w:val="left" w:pos="284" w:leader="none"/>
        </w:tabs>
        <w:spacing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color w:val="000000"/>
          <w:sz w:val="27"/>
          <w:szCs w:val="27"/>
        </w:rPr>
        <w:t>- подключении МДОУ к сети интернет.</w:t>
      </w:r>
    </w:p>
    <w:p>
      <w:pPr>
        <w:pStyle w:val="Normal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Основные нерешённые проблемы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-Недостаточное соответствие развивающей предметно-пространственной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среды ДОУ требованиям ФГОС ДО.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- Недостаточная информатизация и материально-техническая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оснащенность образовательного процесса.</w:t>
      </w:r>
    </w:p>
    <w:p>
      <w:pPr>
        <w:pStyle w:val="Normal"/>
        <w:shd w:val="clear" w:color="auto" w:fill="FFFFFF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Основные направления ближайшего развития ДОУ: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1134" w:leader="none"/>
        </w:tabs>
        <w:suppressAutoHyphens w:val="tru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i/>
          <w:i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Для успешной деятельности МДОУ должен реализовать следующие направления развития: 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1134" w:leader="none"/>
        </w:tabs>
        <w:suppressAutoHyphens w:val="tru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i/>
          <w:i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 </w:t>
      </w:r>
      <w:r>
        <w:rPr>
          <w:rFonts w:cs="Times New Roman" w:ascii="Times New Roman" w:hAnsi="Times New Roman"/>
          <w:sz w:val="27"/>
          <w:szCs w:val="27"/>
        </w:rPr>
        <w:t xml:space="preserve">Совершенствование развивающей предметно-пространственной среды, в соответствии с требованиями ФГОС ДО. 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1134" w:leader="none"/>
        </w:tabs>
        <w:suppressAutoHyphens w:val="tru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i/>
          <w:i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 </w:t>
      </w:r>
      <w:r>
        <w:rPr>
          <w:rFonts w:cs="Times New Roman" w:ascii="Times New Roman" w:hAnsi="Times New Roman"/>
          <w:sz w:val="27"/>
          <w:szCs w:val="27"/>
        </w:rPr>
        <w:t xml:space="preserve">Обеспечение ускоренной информатизации и материально-технической оснащенности образовательного процесса. 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1134" w:leader="none"/>
        </w:tabs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Создать оптимальные условия для сохранения и укрепления здоровья,  развития личностных качеств детей дошкольного возраста, способствующие успешной социализации в современном обществе. 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1134" w:leader="none"/>
        </w:tabs>
        <w:suppressAutoHyphens w:val="tru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Обеспечить реализацию системно-деятельностного подхода для развития познавательной активности, любознательности, стремления к самостоятельному познанию и размышлению у дошкольников.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1134" w:leader="none"/>
        </w:tabs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Создать условия для развития образовательной среды на принципах интегративности, инновационности  и мобильности.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284" w:leader="none"/>
          <w:tab w:val="left" w:pos="1080" w:leader="none"/>
          <w:tab w:val="left" w:pos="1134" w:leader="none"/>
        </w:tabs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 xml:space="preserve">Совершенствовать работу по осуществлению образовательного мониторинга в ДОУ через развитие аналитической функции мышления педагогов.  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1134" w:leader="none"/>
        </w:tabs>
        <w:suppressAutoHyphens w:val="tru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  <w:t>Продолжать работу по конструктивному сотрудничеству и взаимодействию с семьями воспитанников. Содействовать активизации роли родителей в образовании и воспитании детей .</w:t>
      </w:r>
    </w:p>
    <w:p>
      <w:pPr>
        <w:pStyle w:val="NoSpacing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Spacing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ОБЪЕМНЫЕ ПОКАЗАТЕЛИ</w:t>
      </w:r>
    </w:p>
    <w:p>
      <w:pPr>
        <w:pStyle w:val="Normal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МДОУ «Детский сад п. Белоярский»</w:t>
      </w:r>
    </w:p>
    <w:p>
      <w:pPr>
        <w:pStyle w:val="Normal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на 01.09.2023г.</w:t>
      </w:r>
    </w:p>
    <w:tbl>
      <w:tblPr>
        <w:tblW w:w="10620" w:type="dxa"/>
        <w:jc w:val="left"/>
        <w:tblInd w:w="-7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5219"/>
        <w:gridCol w:w="3094"/>
        <w:gridCol w:w="1594"/>
        <w:gridCol w:w="712"/>
      </w:tblGrid>
      <w:tr>
        <w:trPr>
          <w:trHeight w:val="594" w:hRule="atLeast"/>
        </w:trPr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30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  <w:t>Условия</w:t>
            </w:r>
          </w:p>
        </w:tc>
        <w:tc>
          <w:tcPr>
            <w:tcW w:w="1594" w:type="dxa"/>
            <w:tcBorders>
              <w:top w:val="single" w:sz="8" w:space="0" w:color="000000"/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  <w:t>Количество баллов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291" w:hRule="atLeast"/>
        </w:trPr>
        <w:tc>
          <w:tcPr>
            <w:tcW w:w="9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0"/>
                <w:szCs w:val="20"/>
              </w:rPr>
              <w:t>Образовательные учреждения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52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1. Количество обучающихся (воспитанников) в образовательных учреждениях</w:t>
            </w:r>
          </w:p>
        </w:tc>
        <w:tc>
          <w:tcPr>
            <w:tcW w:w="3094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 расчета за каждого обучающегося (воспитанника)</w:t>
            </w:r>
          </w:p>
        </w:tc>
        <w:tc>
          <w:tcPr>
            <w:tcW w:w="1594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7,5</w:t>
            </w:r>
          </w:p>
        </w:tc>
      </w:tr>
      <w:tr>
        <w:trPr>
          <w:trHeight w:val="888" w:hRule="atLeast"/>
        </w:trPr>
        <w:tc>
          <w:tcPr>
            <w:tcW w:w="52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2. Количество обучающихся в музыкальных, художественных школах и школах искусств, учреждениях начального и среднего профессионального образования культуры и искусства, здравоохранения</w:t>
            </w:r>
          </w:p>
        </w:tc>
        <w:tc>
          <w:tcPr>
            <w:tcW w:w="3094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 расчета за каждого обучающегося (воспитанника)</w:t>
            </w:r>
          </w:p>
        </w:tc>
        <w:tc>
          <w:tcPr>
            <w:tcW w:w="1594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>
        <w:trPr>
          <w:trHeight w:val="557" w:hRule="atLeast"/>
        </w:trPr>
        <w:tc>
          <w:tcPr>
            <w:tcW w:w="5219" w:type="dxa"/>
            <w:tcBorders>
              <w:left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3. Количество обучающихся в учреждениях дополнительного образования детей:</w:t>
            </w:r>
          </w:p>
        </w:tc>
        <w:tc>
          <w:tcPr>
            <w:tcW w:w="309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 расчета за каждого обучающегося (воспитанника)</w:t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>
        <w:trPr>
          <w:trHeight w:val="331" w:hRule="atLeast"/>
        </w:trPr>
        <w:tc>
          <w:tcPr>
            <w:tcW w:w="5219" w:type="dxa"/>
            <w:tcBorders>
              <w:left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в многопрофильных</w:t>
            </w:r>
          </w:p>
        </w:tc>
        <w:tc>
          <w:tcPr>
            <w:tcW w:w="3094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74" w:hRule="atLeast"/>
        </w:trPr>
        <w:tc>
          <w:tcPr>
            <w:tcW w:w="5219" w:type="dxa"/>
            <w:tcBorders>
              <w:left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в однопрофильных:</w:t>
            </w:r>
          </w:p>
        </w:tc>
        <w:tc>
          <w:tcPr>
            <w:tcW w:w="3094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1200" w:hRule="atLeast"/>
        </w:trPr>
        <w:tc>
          <w:tcPr>
            <w:tcW w:w="5219" w:type="dxa"/>
            <w:tcBorders>
              <w:left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клубах (центрах, станциях, базах) юных: моряков, речников, пограничников, авиаторов, космонавтов, туристов, техников, натуралистов и других; учреждениях дополнительного образования детей спортивной направленности; музыкальных, художественных школах</w:t>
            </w:r>
          </w:p>
        </w:tc>
        <w:tc>
          <w:tcPr>
            <w:tcW w:w="3094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902" w:hRule="atLeast"/>
        </w:trPr>
        <w:tc>
          <w:tcPr>
            <w:tcW w:w="52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4. Превышение плановой (проектной) наполняемости (по классам (группам) или по количеству обучающихся) в образовательных учреждениях и учреждениях начального и среднего профессионального образования</w:t>
            </w:r>
          </w:p>
        </w:tc>
        <w:tc>
          <w:tcPr>
            <w:tcW w:w="3094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 каждые 50 человек или каждые 2 класса (группы)</w:t>
            </w:r>
          </w:p>
        </w:tc>
        <w:tc>
          <w:tcPr>
            <w:tcW w:w="1594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844" w:hRule="atLeast"/>
        </w:trPr>
        <w:tc>
          <w:tcPr>
            <w:tcW w:w="52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5. Количество работников в образовательном учреждении</w:t>
            </w:r>
          </w:p>
        </w:tc>
        <w:tc>
          <w:tcPr>
            <w:tcW w:w="3094" w:type="dxa"/>
            <w:tcBorders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 каждого работника дополнительно за каждого работника, имеющего:</w:t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14</w:t>
            </w:r>
          </w:p>
        </w:tc>
      </w:tr>
      <w:tr>
        <w:trPr>
          <w:trHeight w:val="578" w:hRule="atLeast"/>
        </w:trPr>
        <w:tc>
          <w:tcPr>
            <w:tcW w:w="5219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3094" w:type="dxa"/>
            <w:tcBorders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первую квалификационную категорию;</w:t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>
        <w:trPr>
          <w:trHeight w:val="515" w:hRule="atLeast"/>
        </w:trPr>
        <w:tc>
          <w:tcPr>
            <w:tcW w:w="5219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3094" w:type="dxa"/>
            <w:tcBorders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высшую квалификационную категорию</w:t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437" w:hRule="atLeast"/>
        </w:trPr>
        <w:tc>
          <w:tcPr>
            <w:tcW w:w="52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6. Наличие групп продленного дня</w:t>
            </w:r>
          </w:p>
        </w:tc>
        <w:tc>
          <w:tcPr>
            <w:tcW w:w="3094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94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781" w:hRule="atLeast"/>
        </w:trPr>
        <w:tc>
          <w:tcPr>
            <w:tcW w:w="52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7. Круглосуточное пребывание обучающихся (воспитанников) в дошкольных и других образовательных учреждениях</w:t>
            </w:r>
          </w:p>
        </w:tc>
        <w:tc>
          <w:tcPr>
            <w:tcW w:w="3094" w:type="dxa"/>
            <w:tcBorders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 наличие до 4 групп с кругло-суточным пребыванием воспитанников;</w:t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1008" w:hRule="atLeast"/>
        </w:trPr>
        <w:tc>
          <w:tcPr>
            <w:tcW w:w="5219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3094" w:type="dxa"/>
            <w:tcBorders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4 и более группы с круглосуточным пребыванием воспитанников в учреждениях, работающих в таком режиме</w:t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721" w:hRule="atLeast"/>
        </w:trPr>
        <w:tc>
          <w:tcPr>
            <w:tcW w:w="52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8. Наличие филиалов, представительств, учебно-консультационных пунктов, интерната при образовательном учреждении, общежития, санатория-профилактория и другого с количеством обучающихся (проживающих)</w:t>
            </w:r>
          </w:p>
        </w:tc>
        <w:tc>
          <w:tcPr>
            <w:tcW w:w="3094" w:type="dxa"/>
            <w:tcBorders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 каждое указанное структурное подразделение:</w:t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403" w:hRule="atLeast"/>
        </w:trPr>
        <w:tc>
          <w:tcPr>
            <w:tcW w:w="5219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3094" w:type="dxa"/>
            <w:tcBorders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до 100 человек;</w:t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339" w:hRule="atLeast"/>
        </w:trPr>
        <w:tc>
          <w:tcPr>
            <w:tcW w:w="5219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3094" w:type="dxa"/>
            <w:tcBorders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от 100 до 200 человек;</w:t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394" w:hRule="atLeast"/>
        </w:trPr>
        <w:tc>
          <w:tcPr>
            <w:tcW w:w="5219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3094" w:type="dxa"/>
            <w:tcBorders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свыше 200 человек</w:t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795" w:hRule="atLeast"/>
        </w:trPr>
        <w:tc>
          <w:tcPr>
            <w:tcW w:w="52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9. Наличие обучающихся (воспитанников) с полным государственным обеспечением в образовательных учреждениях</w:t>
            </w:r>
          </w:p>
        </w:tc>
        <w:tc>
          <w:tcPr>
            <w:tcW w:w="3094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из расчета за каждого</w:t>
            </w:r>
          </w:p>
        </w:tc>
        <w:tc>
          <w:tcPr>
            <w:tcW w:w="1594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469" w:hRule="atLeast"/>
        </w:trPr>
        <w:tc>
          <w:tcPr>
            <w:tcW w:w="5219" w:type="dxa"/>
            <w:tcBorders>
              <w:left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10. Наличие в образовательных учреждениях спортивной направленности (УОР, ШВСМ, СДЮСШОР, ДЮСШ):</w:t>
            </w:r>
          </w:p>
        </w:tc>
        <w:tc>
          <w:tcPr>
            <w:tcW w:w="3094" w:type="dxa"/>
            <w:tcBorders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35" w:hRule="atLeast"/>
        </w:trPr>
        <w:tc>
          <w:tcPr>
            <w:tcW w:w="5219" w:type="dxa"/>
            <w:tcBorders>
              <w:left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спортивно-оздоровительных групп</w:t>
            </w:r>
          </w:p>
        </w:tc>
        <w:tc>
          <w:tcPr>
            <w:tcW w:w="3094" w:type="dxa"/>
            <w:tcBorders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391" w:hRule="atLeast"/>
        </w:trPr>
        <w:tc>
          <w:tcPr>
            <w:tcW w:w="5219" w:type="dxa"/>
            <w:tcBorders>
              <w:left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учебно-тренировочных групп</w:t>
            </w:r>
          </w:p>
        </w:tc>
        <w:tc>
          <w:tcPr>
            <w:tcW w:w="3094" w:type="dxa"/>
            <w:tcBorders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323" w:hRule="atLeast"/>
        </w:trPr>
        <w:tc>
          <w:tcPr>
            <w:tcW w:w="5219" w:type="dxa"/>
            <w:tcBorders>
              <w:left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групп спортивного совершенствования</w:t>
            </w:r>
          </w:p>
        </w:tc>
        <w:tc>
          <w:tcPr>
            <w:tcW w:w="3094" w:type="dxa"/>
            <w:tcBorders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 каждую группу</w:t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535" w:hRule="atLeast"/>
        </w:trPr>
        <w:tc>
          <w:tcPr>
            <w:tcW w:w="5219" w:type="dxa"/>
            <w:tcBorders>
              <w:left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3094" w:type="dxa"/>
            <w:tcBorders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 каждого обучающегося дополнительно</w:t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515" w:hRule="atLeast"/>
        </w:trPr>
        <w:tc>
          <w:tcPr>
            <w:tcW w:w="5219" w:type="dxa"/>
            <w:tcBorders>
              <w:left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групп высшего спортивного мастерства</w:t>
            </w:r>
          </w:p>
        </w:tc>
        <w:tc>
          <w:tcPr>
            <w:tcW w:w="3094" w:type="dxa"/>
            <w:tcBorders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 каждого обучающегося дополнительно</w:t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537" w:hRule="atLeast"/>
        </w:trPr>
        <w:tc>
          <w:tcPr>
            <w:tcW w:w="5219" w:type="dxa"/>
            <w:tcBorders>
              <w:left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3094" w:type="dxa"/>
            <w:tcBorders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 каждого обучающегося дополнительно</w:t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524" w:hRule="atLeast"/>
        </w:trPr>
        <w:tc>
          <w:tcPr>
            <w:tcW w:w="52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11. Наличие оборудованных и используемых в образовательном процессе компьютерных классов</w:t>
            </w:r>
          </w:p>
        </w:tc>
        <w:tc>
          <w:tcPr>
            <w:tcW w:w="3094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 каждый класс</w:t>
            </w:r>
          </w:p>
        </w:tc>
        <w:tc>
          <w:tcPr>
            <w:tcW w:w="1594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519" w:hRule="atLeast"/>
        </w:trPr>
        <w:tc>
          <w:tcPr>
            <w:tcW w:w="52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12. Наличие оборудованных и используемых в образовательном процессе: спортивной площадки, стадиона, бассейна и других спортивных сооружений (в зависимости от их состояния и степени использования)</w:t>
            </w:r>
          </w:p>
        </w:tc>
        <w:tc>
          <w:tcPr>
            <w:tcW w:w="3094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 каждый вид</w:t>
            </w:r>
          </w:p>
        </w:tc>
        <w:tc>
          <w:tcPr>
            <w:tcW w:w="1594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665" w:hRule="atLeast"/>
        </w:trPr>
        <w:tc>
          <w:tcPr>
            <w:tcW w:w="52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13. Наличие собственного оборудованного здравпункта, медицинского кабинета, оздоровительно-восстановительного центра, столовой</w:t>
            </w:r>
          </w:p>
        </w:tc>
        <w:tc>
          <w:tcPr>
            <w:tcW w:w="3094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94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15</w:t>
            </w:r>
          </w:p>
        </w:tc>
      </w:tr>
      <w:tr>
        <w:trPr>
          <w:trHeight w:val="256" w:hRule="atLeast"/>
        </w:trPr>
        <w:tc>
          <w:tcPr>
            <w:tcW w:w="5219" w:type="dxa"/>
            <w:tcBorders>
              <w:left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14. Наличие:</w:t>
            </w:r>
          </w:p>
        </w:tc>
        <w:tc>
          <w:tcPr>
            <w:tcW w:w="3094" w:type="dxa"/>
            <w:tcBorders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581" w:hRule="atLeast"/>
        </w:trPr>
        <w:tc>
          <w:tcPr>
            <w:tcW w:w="5219" w:type="dxa"/>
            <w:tcBorders>
              <w:left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автотранспортных средств, сельхозмашин, строительной и другой самоходной техники на балансе образовательного учреждения;</w:t>
            </w:r>
          </w:p>
        </w:tc>
        <w:tc>
          <w:tcPr>
            <w:tcW w:w="3094" w:type="dxa"/>
            <w:tcBorders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 каждую единицу</w:t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3, но не более 20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407" w:hRule="atLeast"/>
        </w:trPr>
        <w:tc>
          <w:tcPr>
            <w:tcW w:w="5219" w:type="dxa"/>
            <w:tcBorders>
              <w:left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учебных кораблей, катеров, самолетов и другой учебной техники</w:t>
            </w:r>
          </w:p>
        </w:tc>
        <w:tc>
          <w:tcPr>
            <w:tcW w:w="3094" w:type="dxa"/>
            <w:tcBorders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 каждую единицу</w:t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579" w:hRule="atLeast"/>
        </w:trPr>
        <w:tc>
          <w:tcPr>
            <w:tcW w:w="52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15. Наличие загородных объектов (лагерей, баз отдыха, дач и др.)</w:t>
            </w:r>
          </w:p>
        </w:tc>
        <w:tc>
          <w:tcPr>
            <w:tcW w:w="309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находящихся на балансе образовательных учреждений в других случаях</w:t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68" w:hRule="atLeast"/>
        </w:trPr>
        <w:tc>
          <w:tcPr>
            <w:tcW w:w="5219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3094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5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880" w:hRule="atLeast"/>
        </w:trPr>
        <w:tc>
          <w:tcPr>
            <w:tcW w:w="52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16. Наличие учебно-опытных участков (площадью не менее 0,5 га, а при орошаемом земледелии – 0,25 га), парникового хозяйства, подсобного сельского хозяйства, учебного хозяйства, теплиц</w:t>
            </w:r>
          </w:p>
        </w:tc>
        <w:tc>
          <w:tcPr>
            <w:tcW w:w="3094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 каждый вид</w:t>
            </w:r>
          </w:p>
        </w:tc>
        <w:tc>
          <w:tcPr>
            <w:tcW w:w="1594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292" w:hRule="atLeast"/>
        </w:trPr>
        <w:tc>
          <w:tcPr>
            <w:tcW w:w="52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17. Наличие собственных: котельной, очистных и за каждый вид других сооружений, жилых домов</w:t>
            </w:r>
          </w:p>
        </w:tc>
        <w:tc>
          <w:tcPr>
            <w:tcW w:w="3094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1594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154" w:hRule="atLeast"/>
        </w:trPr>
        <w:tc>
          <w:tcPr>
            <w:tcW w:w="52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18. Наличие обучающихся (воспитанников) в образовательных учреждениях, учреждениях начального и среднего профессионального образования, посещающих бесплатные секции, кружки, студии, организованные этими учреждениями или на их базе</w:t>
            </w:r>
          </w:p>
        </w:tc>
        <w:tc>
          <w:tcPr>
            <w:tcW w:w="3094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 каждого обучающегося (воспитанника)</w:t>
            </w:r>
          </w:p>
        </w:tc>
        <w:tc>
          <w:tcPr>
            <w:tcW w:w="1594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339" w:hRule="atLeast"/>
        </w:trPr>
        <w:tc>
          <w:tcPr>
            <w:tcW w:w="52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19. Наличие в образовательных учреждениях (классах, группах) общего назначения обучающихся (воспитанников) со специальными потребностями, охваченных квалифицированной коррекцией физического и психического развития (кроме специальных (коррекционных) образовательных учреждений (классов, групп) и компенсирующего вида</w:t>
            </w:r>
          </w:p>
        </w:tc>
        <w:tc>
          <w:tcPr>
            <w:tcW w:w="3094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 каждого обучающегося (воспитанника)</w:t>
            </w:r>
          </w:p>
        </w:tc>
        <w:tc>
          <w:tcPr>
            <w:tcW w:w="1594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339" w:hRule="atLeast"/>
        </w:trPr>
        <w:tc>
          <w:tcPr>
            <w:tcW w:w="52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20. Наличие действующих учебно-производственных мастерских</w:t>
            </w:r>
          </w:p>
        </w:tc>
        <w:tc>
          <w:tcPr>
            <w:tcW w:w="3094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за каждую мастерскую от степени оборудованности</w:t>
            </w:r>
          </w:p>
        </w:tc>
        <w:tc>
          <w:tcPr>
            <w:tcW w:w="1594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>
        <w:trPr>
          <w:trHeight w:val="556" w:hRule="atLeast"/>
        </w:trPr>
        <w:tc>
          <w:tcPr>
            <w:tcW w:w="52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3094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594" w:type="dxa"/>
            <w:tcBorders>
              <w:bottom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38,5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Заведующий МДОУ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«Детский сад п. Белоярский»                                                        Латынцева М.А.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Spacing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МУНИЦИПАЛЬНОЕ ДОШКОЛЬНОЕ ОБРАЗОВАТЕЛЬНОЕ УЧРЕЖДЕНИЕ «ДЕТСКИЙ САД П. БЕЛОЯРСКИЙ</w:t>
      </w:r>
    </w:p>
    <w:p>
      <w:pPr>
        <w:pStyle w:val="NoSpacing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НОВОБУРАССКОГО РАЙОНА САРАТОВСКОЙ ОБЛАСТИ</w:t>
      </w:r>
      <w:r>
        <w:rPr>
          <w:rFonts w:ascii="Times New Roman" w:hAnsi="Times New Roman"/>
          <w:b/>
          <w:sz w:val="28"/>
          <w:szCs w:val="28"/>
        </w:rPr>
        <w:t>»</w:t>
      </w:r>
    </w:p>
    <w:p>
      <w:pPr>
        <w:pStyle w:val="NoSpacing"/>
        <w:rPr/>
      </w:pPr>
      <w:r>
        <w:rPr/>
      </w:r>
    </w:p>
    <w:p>
      <w:pPr>
        <w:pStyle w:val="NoSpacing"/>
        <w:jc w:val="center"/>
        <w:rPr>
          <w:rFonts w:ascii="Times New Roman" w:hAnsi="Times New Roman"/>
          <w:b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Россия, 412561, Саратовская область, Новобурасский район, п. Белоярский, ул. Радаева 2 А</w:t>
      </w:r>
    </w:p>
    <w:p>
      <w:pPr>
        <w:pStyle w:val="NoSpacing"/>
        <w:jc w:val="center"/>
        <w:rPr>
          <w:rFonts w:ascii="Times New Roman" w:hAnsi="Times New Roman"/>
          <w:b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ОГРН: 1026400557040, ИНН: 6421013990</w:t>
      </w:r>
    </w:p>
    <w:p>
      <w:pPr>
        <w:pStyle w:val="NoSpacing"/>
        <w:jc w:val="center"/>
        <w:rPr>
          <w:rFonts w:ascii="Times New Roman" w:hAnsi="Times New Roman"/>
          <w:b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КПП: 642101001, р/сч.: 40701810800003000008 в отделении Саратов г. Саратов</w:t>
      </w:r>
    </w:p>
    <w:p>
      <w:pPr>
        <w:pStyle w:val="NoSpacing"/>
        <w:jc w:val="center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  <w:sz w:val="20"/>
          <w:szCs w:val="20"/>
        </w:rPr>
        <w:t xml:space="preserve">Тел: 8-905-326-80-43 Эл. почта: </w:t>
      </w:r>
      <w:hyperlink r:id="rId5">
        <w:r>
          <w:rPr>
            <w:b/>
            <w:sz w:val="20"/>
            <w:szCs w:val="20"/>
            <w:lang w:val="en-US"/>
          </w:rPr>
          <w:t>mdou</w:t>
        </w:r>
        <w:r>
          <w:rPr>
            <w:b/>
            <w:sz w:val="20"/>
            <w:szCs w:val="20"/>
          </w:rPr>
          <w:t>-</w:t>
        </w:r>
        <w:r>
          <w:rPr>
            <w:b/>
            <w:sz w:val="20"/>
            <w:szCs w:val="20"/>
            <w:lang w:val="en-US"/>
          </w:rPr>
          <w:t>belojar</w:t>
        </w:r>
        <w:r>
          <w:rPr>
            <w:b/>
            <w:sz w:val="20"/>
            <w:szCs w:val="20"/>
          </w:rPr>
          <w:t>@</w:t>
        </w:r>
        <w:r>
          <w:rPr>
            <w:b/>
            <w:sz w:val="20"/>
            <w:szCs w:val="20"/>
            <w:lang w:val="en-US"/>
          </w:rPr>
          <w:t>mail</w:t>
        </w:r>
        <w:r>
          <w:rPr>
            <w:b/>
            <w:sz w:val="20"/>
            <w:szCs w:val="20"/>
          </w:rPr>
          <w:t>.</w:t>
        </w:r>
        <w:r>
          <w:rPr>
            <w:b/>
            <w:sz w:val="20"/>
            <w:szCs w:val="20"/>
            <w:lang w:val="en-US"/>
          </w:rPr>
          <w:t>ru</w:t>
        </w:r>
      </w:hyperlink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_________№_____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На №____от_____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Главе Новобурасского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муниципального района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Саратовской области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Воробьеву А.Ф.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заведующего МДОУ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«Детский сад п. Белоярский»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Латынцевой М.А.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Служебное письмо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Администрация МДОУ «Детский сад п. Белоярский» направляет Вам для рассмотрения отчет о результатах самообследования образовательной организации по состоянию на 31.12.2023 года.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Заведующий МДОУ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7"/>
          <w:szCs w:val="27"/>
        </w:rPr>
      </w:pPr>
      <w:r>
        <w:rPr>
          <w:rFonts w:cs="Times New Roman" w:ascii="Times New Roman" w:hAnsi="Times New Roman"/>
          <w:b/>
          <w:sz w:val="27"/>
          <w:szCs w:val="27"/>
        </w:rPr>
        <w:t>«Детский сад п. Белоярский»:                                        Латынцева М.А.</w:t>
      </w:r>
    </w:p>
    <w:sectPr>
      <w:type w:val="nextPage"/>
      <w:pgSz w:w="11906" w:h="16838"/>
      <w:pgMar w:left="1134" w:right="567" w:gutter="0" w:header="0" w:top="1134" w:footer="0" w:bottom="1134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altName w:val="Bold"/>
    <w:charset w:val="01"/>
    <w:family w:val="roman"/>
    <w:pitch w:val="default"/>
  </w:font>
  <w:font w:name="Arial">
    <w:charset w:val="01"/>
    <w:family w:val="roman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305ba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4">
    <w:name w:val="Heading 4"/>
    <w:basedOn w:val="Normal"/>
    <w:next w:val="Normal"/>
    <w:link w:val="41"/>
    <w:semiHidden/>
    <w:unhideWhenUsed/>
    <w:qFormat/>
    <w:rsid w:val="009b7e8b"/>
    <w:pPr>
      <w:keepNext w:val="true"/>
      <w:spacing w:lineRule="auto" w:line="240" w:before="240" w:after="60"/>
      <w:ind w:left="-567" w:hanging="0"/>
      <w:jc w:val="both"/>
      <w:outlineLvl w:val="3"/>
    </w:pPr>
    <w:rPr>
      <w:rFonts w:ascii="Times New Roman" w:hAnsi="Times New Roman" w:eastAsia="Times New Roman" w:cs="Times New Roman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41" w:customStyle="1">
    <w:name w:val="Заголовок 4 Знак"/>
    <w:basedOn w:val="DefaultParagraphFont"/>
    <w:semiHidden/>
    <w:qFormat/>
    <w:rsid w:val="009b7e8b"/>
    <w:rPr>
      <w:rFonts w:ascii="Times New Roman" w:hAnsi="Times New Roman" w:eastAsia="Times New Roman" w:cs="Times New Roman"/>
      <w:b/>
      <w:bCs/>
      <w:sz w:val="28"/>
      <w:szCs w:val="28"/>
    </w:rPr>
  </w:style>
  <w:style w:type="character" w:styleId="Style13">
    <w:name w:val="Интернет-ссылка"/>
    <w:semiHidden/>
    <w:unhideWhenUsed/>
    <w:rsid w:val="009b7e8b"/>
    <w:rPr>
      <w:rFonts w:ascii="Times New Roman" w:hAnsi="Times New Roman" w:cs="Times New Roman"/>
      <w:strike w:val="false"/>
      <w:dstrike w:val="false"/>
      <w:color w:val="0066CC"/>
      <w:u w:val="none"/>
      <w:effect w:val="none"/>
    </w:rPr>
  </w:style>
  <w:style w:type="character" w:styleId="Strong">
    <w:name w:val="Strong"/>
    <w:uiPriority w:val="22"/>
    <w:qFormat/>
    <w:rsid w:val="009b7e8b"/>
    <w:rPr>
      <w:rFonts w:ascii="Times New Roman" w:hAnsi="Times New Roman" w:cs="Times New Roman"/>
      <w:b/>
      <w:bCs/>
    </w:rPr>
  </w:style>
  <w:style w:type="character" w:styleId="Style14" w:customStyle="1">
    <w:name w:val="Основной текст Знак"/>
    <w:basedOn w:val="DefaultParagraphFont"/>
    <w:uiPriority w:val="99"/>
    <w:qFormat/>
    <w:rsid w:val="009b7e8b"/>
    <w:rPr>
      <w:rFonts w:ascii="Times New Roman" w:hAnsi="Times New Roman" w:eastAsia="Calibri" w:cs="Times New Roman"/>
      <w:sz w:val="24"/>
      <w:szCs w:val="24"/>
    </w:rPr>
  </w:style>
  <w:style w:type="character" w:styleId="NoSpacingChar" w:customStyle="1">
    <w:name w:val="No Spacing Char"/>
    <w:link w:val="11"/>
    <w:qFormat/>
    <w:locked/>
    <w:rsid w:val="009b7e8b"/>
    <w:rPr>
      <w:rFonts w:ascii="Times New Roman" w:hAnsi="Times New Roman" w:cs="Times New Roman"/>
      <w:sz w:val="24"/>
      <w:szCs w:val="24"/>
    </w:rPr>
  </w:style>
  <w:style w:type="character" w:styleId="FontStyle38" w:customStyle="1">
    <w:name w:val="Font Style38"/>
    <w:qFormat/>
    <w:rsid w:val="009b7e8b"/>
    <w:rPr>
      <w:rFonts w:ascii="Times New Roman" w:hAnsi="Times New Roman" w:cs="Times New Roman"/>
      <w:sz w:val="26"/>
      <w:szCs w:val="26"/>
    </w:rPr>
  </w:style>
  <w:style w:type="character" w:styleId="Style15" w:customStyle="1">
    <w:name w:val="Текст выноски Знак"/>
    <w:basedOn w:val="DefaultParagraphFont"/>
    <w:link w:val="BalloonText"/>
    <w:uiPriority w:val="99"/>
    <w:semiHidden/>
    <w:qFormat/>
    <w:rsid w:val="009b7e8b"/>
    <w:rPr>
      <w:rFonts w:ascii="Tahoma" w:hAnsi="Tahoma" w:cs="Tahoma"/>
      <w:sz w:val="16"/>
      <w:szCs w:val="16"/>
    </w:rPr>
  </w:style>
  <w:style w:type="character" w:styleId="Style16" w:customStyle="1">
    <w:name w:val="Без интервала Знак"/>
    <w:link w:val="NoSpacing"/>
    <w:uiPriority w:val="99"/>
    <w:qFormat/>
    <w:rsid w:val="00ee2100"/>
    <w:rPr>
      <w:rFonts w:ascii="Calibri" w:hAnsi="Calibri" w:eastAsia="Times New Roman" w:cs="Times New Roman"/>
    </w:rPr>
  </w:style>
  <w:style w:type="character" w:styleId="Style17" w:customStyle="1">
    <w:name w:val="Верхний колонтитул Знак"/>
    <w:basedOn w:val="DefaultParagraphFont"/>
    <w:uiPriority w:val="99"/>
    <w:qFormat/>
    <w:rsid w:val="0086130e"/>
    <w:rPr>
      <w:rFonts w:eastAsia="Calibri" w:eastAsiaTheme="minorHAnsi"/>
      <w:lang w:eastAsia="en-US"/>
    </w:rPr>
  </w:style>
  <w:style w:type="character" w:styleId="Style18" w:customStyle="1">
    <w:name w:val="Нижний колонтитул Знак"/>
    <w:basedOn w:val="DefaultParagraphFont"/>
    <w:uiPriority w:val="99"/>
    <w:qFormat/>
    <w:rsid w:val="0086130e"/>
    <w:rPr>
      <w:rFonts w:eastAsia="Calibri" w:eastAsiaTheme="minorHAnsi"/>
      <w:lang w:eastAsia="en-US"/>
    </w:rPr>
  </w:style>
  <w:style w:type="character" w:styleId="Style19" w:customStyle="1">
    <w:name w:val="Текст сноски Знак"/>
    <w:basedOn w:val="DefaultParagraphFont"/>
    <w:uiPriority w:val="99"/>
    <w:semiHidden/>
    <w:qFormat/>
    <w:rsid w:val="0086130e"/>
    <w:rPr>
      <w:rFonts w:eastAsia="Calibri" w:eastAsiaTheme="minorHAnsi"/>
      <w:sz w:val="20"/>
      <w:szCs w:val="20"/>
      <w:lang w:eastAsia="en-US"/>
    </w:rPr>
  </w:style>
  <w:style w:type="paragraph" w:styleId="Style20">
    <w:name w:val="Заголовок"/>
    <w:basedOn w:val="Normal"/>
    <w:next w:val="Style21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21">
    <w:name w:val="Body Text"/>
    <w:basedOn w:val="Normal"/>
    <w:link w:val="Style14"/>
    <w:uiPriority w:val="99"/>
    <w:unhideWhenUsed/>
    <w:rsid w:val="009b7e8b"/>
    <w:pPr>
      <w:spacing w:lineRule="auto" w:line="240" w:before="0" w:after="120"/>
      <w:ind w:left="-567" w:hanging="0"/>
      <w:jc w:val="both"/>
    </w:pPr>
    <w:rPr>
      <w:rFonts w:ascii="Times New Roman" w:hAnsi="Times New Roman" w:eastAsia="Calibri" w:cs="Times New Roman"/>
      <w:sz w:val="24"/>
      <w:szCs w:val="24"/>
    </w:rPr>
  </w:style>
  <w:style w:type="paragraph" w:styleId="Style22">
    <w:name w:val="List"/>
    <w:basedOn w:val="Style21"/>
    <w:pPr/>
    <w:rPr>
      <w:rFonts w:ascii="PT Astra Serif" w:hAnsi="PT Astra Serif" w:cs="Noto Sans Devanagari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ascii="PT Astra Serif" w:hAnsi="PT Astra Serif" w:cs="Noto Sans Devanagari"/>
      <w:lang w:val="zxx" w:eastAsia="zxx" w:bidi="zxx"/>
    </w:rPr>
  </w:style>
  <w:style w:type="paragraph" w:styleId="NoSpacing">
    <w:name w:val="No Spacing"/>
    <w:link w:val="Style16"/>
    <w:uiPriority w:val="99"/>
    <w:qFormat/>
    <w:rsid w:val="009b7e8b"/>
    <w:pPr>
      <w:widowControl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ru-RU" w:eastAsia="ru-RU" w:bidi="ar-SA"/>
    </w:rPr>
  </w:style>
  <w:style w:type="paragraph" w:styleId="1" w:customStyle="1">
    <w:name w:val="Абзац списка1"/>
    <w:basedOn w:val="Normal"/>
    <w:qFormat/>
    <w:rsid w:val="009b7e8b"/>
    <w:pPr>
      <w:spacing w:lineRule="auto" w:line="240" w:before="0" w:after="0"/>
      <w:ind w:left="720" w:hanging="0"/>
      <w:contextualSpacing/>
    </w:pPr>
    <w:rPr>
      <w:rFonts w:ascii="Times New Roman" w:hAnsi="Times New Roman" w:eastAsia="Calibri" w:cs="Times New Roman"/>
      <w:sz w:val="24"/>
      <w:szCs w:val="24"/>
    </w:rPr>
  </w:style>
  <w:style w:type="paragraph" w:styleId="11" w:customStyle="1">
    <w:name w:val="Без интервала1"/>
    <w:link w:val="NoSpacingChar"/>
    <w:qFormat/>
    <w:rsid w:val="009b7e8b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" w:eastAsiaTheme="minorEastAsia"/>
      <w:color w:val="auto"/>
      <w:kern w:val="0"/>
      <w:sz w:val="24"/>
      <w:szCs w:val="24"/>
      <w:lang w:val="ru-RU" w:eastAsia="ru-RU" w:bidi="ar-SA"/>
    </w:rPr>
  </w:style>
  <w:style w:type="paragraph" w:styleId="BalloonText">
    <w:name w:val="Balloon Text"/>
    <w:basedOn w:val="Normal"/>
    <w:link w:val="Style15"/>
    <w:uiPriority w:val="99"/>
    <w:semiHidden/>
    <w:unhideWhenUsed/>
    <w:qFormat/>
    <w:rsid w:val="009b7e8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9b7e8b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Andale Sans UI" w:cs="Tahoma"/>
      <w:color w:val="auto"/>
      <w:kern w:val="2"/>
      <w:sz w:val="24"/>
      <w:szCs w:val="24"/>
      <w:lang w:val="de-DE" w:eastAsia="ja-JP" w:bidi="fa-IR"/>
    </w:rPr>
  </w:style>
  <w:style w:type="paragraph" w:styleId="ListParagraph">
    <w:name w:val="List Paragraph"/>
    <w:basedOn w:val="Normal"/>
    <w:uiPriority w:val="99"/>
    <w:qFormat/>
    <w:rsid w:val="00d82e6e"/>
    <w:pPr>
      <w:spacing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qFormat/>
    <w:rsid w:val="00fc4661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Style25">
    <w:name w:val="Колонтитул"/>
    <w:basedOn w:val="Normal"/>
    <w:qFormat/>
    <w:pPr/>
    <w:rPr/>
  </w:style>
  <w:style w:type="paragraph" w:styleId="Style26">
    <w:name w:val="Header"/>
    <w:basedOn w:val="Normal"/>
    <w:link w:val="Style17"/>
    <w:uiPriority w:val="99"/>
    <w:unhideWhenUsed/>
    <w:rsid w:val="0086130e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eastAsia="Calibri" w:eastAsiaTheme="minorHAnsi"/>
      <w:lang w:eastAsia="en-US"/>
    </w:rPr>
  </w:style>
  <w:style w:type="paragraph" w:styleId="Style27">
    <w:name w:val="Footer"/>
    <w:basedOn w:val="Normal"/>
    <w:link w:val="Style18"/>
    <w:uiPriority w:val="99"/>
    <w:unhideWhenUsed/>
    <w:rsid w:val="0086130e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eastAsia="Calibri" w:eastAsiaTheme="minorHAnsi"/>
      <w:lang w:eastAsia="en-US"/>
    </w:rPr>
  </w:style>
  <w:style w:type="paragraph" w:styleId="Style28">
    <w:name w:val="Footnote Text"/>
    <w:basedOn w:val="Normal"/>
    <w:link w:val="Style19"/>
    <w:uiPriority w:val="99"/>
    <w:semiHidden/>
    <w:unhideWhenUsed/>
    <w:rsid w:val="0086130e"/>
    <w:pPr>
      <w:spacing w:lineRule="auto" w:line="240" w:before="0" w:after="0"/>
    </w:pPr>
    <w:rPr>
      <w:rFonts w:eastAsia="Calibri" w:eastAsiaTheme="minorHAnsi"/>
      <w:sz w:val="20"/>
      <w:szCs w:val="20"/>
      <w:lang w:eastAsia="en-US"/>
    </w:rPr>
  </w:style>
  <w:style w:type="paragraph" w:styleId="Default" w:customStyle="1">
    <w:name w:val="Default"/>
    <w:qFormat/>
    <w:rsid w:val="0086130e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 w:eastAsiaTheme="minorHAnsi"/>
      <w:color w:val="000000"/>
      <w:kern w:val="0"/>
      <w:sz w:val="24"/>
      <w:szCs w:val="24"/>
      <w:lang w:eastAsia="en-US" w:val="ru-RU" w:bidi="ar-SA"/>
    </w:rPr>
  </w:style>
  <w:style w:type="paragraph" w:styleId="TableParagraph" w:customStyle="1">
    <w:name w:val="Table Paragraph"/>
    <w:basedOn w:val="Normal"/>
    <w:uiPriority w:val="1"/>
    <w:qFormat/>
    <w:rsid w:val="00863565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lang w:bidi="ru-RU"/>
    </w:rPr>
  </w:style>
  <w:style w:type="paragraph" w:styleId="Style29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39"/>
    <w:rsid w:val="0096133d"/>
    <w:pPr>
      <w:spacing w:after="0" w:line="240" w:lineRule="auto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">
    <w:name w:val="Table Normal"/>
    <w:uiPriority w:val="2"/>
    <w:semiHidden/>
    <w:unhideWhenUsed/>
    <w:qFormat/>
    <w:rsid w:val="00863565"/>
    <w:pPr>
      <w:spacing w:after="0" w:line="240" w:lineRule="auto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ds-beloyarskij-r64.gosweb.gosuslugi.ru/" TargetMode="External"/><Relationship Id="rId4" Type="http://schemas.openxmlformats.org/officeDocument/2006/relationships/chart" Target="charts/chart1.xml"/><Relationship Id="rId5" Type="http://schemas.openxmlformats.org/officeDocument/2006/relationships/hyperlink" Target="mailto:mdou-belojar@mail.ru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_____Microsoft_Excel.xlsx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title>
      <c:tx>
        <c:rich>
          <a:bodyPr rot="0"/>
          <a:lstStyle/>
          <a:p>
            <a:pPr>
              <a:defRPr b="1" lang="ru-RU" sz="1200" spc="-1" strike="noStrike">
                <a:solidFill>
                  <a:srgbClr val="595959"/>
                </a:solidFill>
                <a:latin typeface="Times New Roman"/>
              </a:defRPr>
            </a:pPr>
            <a:r>
              <a:rPr b="1" lang="ru-RU" sz="1200" spc="-1" strike="noStrike">
                <a:solidFill>
                  <a:srgbClr val="595959"/>
                </a:solidFill>
                <a:latin typeface="Times New Roman"/>
              </a:rPr>
              <a:t>Анализ банка данных о семьях воспитанников в МДОУ "Детский сад п. Белоярский"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Анализ банка данных о семьях воспитанников в МБДОУ № 30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explosion val="0"/>
          <c:dPt>
            <c:idx val="0"/>
            <c:spPr>
              <a:solidFill>
                <a:srgbClr val="4f81bd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1"/>
            <c:spPr>
              <a:solidFill>
                <a:srgbClr val="c0504d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2"/>
            <c:spPr>
              <a:solidFill>
                <a:srgbClr val="9bbb59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3"/>
            <c:spPr>
              <a:solidFill>
                <a:srgbClr val="8064a2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4"/>
            <c:spPr>
              <a:solidFill>
                <a:srgbClr val="4bacc6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5"/>
            <c:spPr>
              <a:solidFill>
                <a:srgbClr val="f79646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6"/>
            <c:spPr>
              <a:solidFill>
                <a:srgbClr val="2c4d75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7"/>
            <c:spPr>
              <a:solidFill>
                <a:srgbClr val="772c2a"/>
              </a:solidFill>
              <a:ln w="19080">
                <a:solidFill>
                  <a:srgbClr val="ffffff"/>
                </a:solidFill>
                <a:round/>
              </a:ln>
            </c:spPr>
          </c:dPt>
          <c:dLbls>
            <c:numFmt formatCode="General" sourceLinked="0"/>
            <c:dLbl>
              <c:idx val="0"/>
              <c:txPr>
                <a:bodyPr wrap="square"/>
                <a:lstStyle/>
                <a:p>
                  <a:pPr>
                    <a:defRPr b="0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tx>
                <c:rich>
                  <a:bodyPr/>
                  <a:p>
                    <a:r>
                      <a:rPr b="0" sz="1000" spc="-1" strike="noStrike">
                        <a:solidFill>
                          <a:srgbClr val="000000"/>
                        </a:solidFill>
                        <a:latin typeface="Calibri"/>
                      </a:rPr>
                      <a:t>5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eparator>; </c:separator>
            </c:dLbl>
            <c:dLbl>
              <c:idx val="1"/>
              <c:txPr>
                <a:bodyPr wrap="square"/>
                <a:lstStyle/>
                <a:p>
                  <a:pPr>
                    <a:defRPr b="0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tx>
                <c:rich>
                  <a:bodyPr/>
                  <a:p>
                    <a:r>
                      <a:rPr b="0" sz="1000" spc="-1" strike="noStrike">
                        <a:solidFill>
                          <a:srgbClr val="000000"/>
                        </a:solidFill>
                        <a:latin typeface="Calibri"/>
                      </a:rPr>
                      <a:t>12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eparator>; </c:separator>
            </c:dLbl>
            <c:dLbl>
              <c:idx val="2"/>
              <c:numFmt formatCode="General" sourceLinked="0"/>
              <c:txPr>
                <a:bodyPr wrap="square"/>
                <a:lstStyle/>
                <a:p>
                  <a:pPr>
                    <a:defRPr b="0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3"/>
              <c:txPr>
                <a:bodyPr wrap="square"/>
                <a:lstStyle/>
                <a:p>
                  <a:pPr>
                    <a:defRPr b="0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tx>
                <c:rich>
                  <a:bodyPr/>
                  <a:p>
                    <a:r>
                      <a:rPr b="0" sz="1000" spc="-1" strike="noStrike">
                        <a:solidFill>
                          <a:srgbClr val="000000"/>
                        </a:solidFill>
                        <a:latin typeface="Calibri"/>
                      </a:rPr>
                      <a:t>15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eparator>; </c:separator>
            </c:dLbl>
            <c:dLbl>
              <c:idx val="4"/>
              <c:txPr>
                <a:bodyPr wrap="square"/>
                <a:lstStyle/>
                <a:p>
                  <a:pPr>
                    <a:defRPr b="0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tx>
                <c:rich>
                  <a:bodyPr/>
                  <a:p>
                    <a:r>
                      <a:rPr b="0" sz="1000" spc="-1" strike="noStrike">
                        <a:solidFill>
                          <a:srgbClr val="000000"/>
                        </a:solidFill>
                        <a:latin typeface="Calibri"/>
                      </a:rPr>
                      <a:t>3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eparator>; </c:separator>
            </c:dLbl>
            <c:dLbl>
              <c:idx val="5"/>
              <c:txPr>
                <a:bodyPr wrap="square"/>
                <a:lstStyle/>
                <a:p>
                  <a:pPr>
                    <a:defRPr b="0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tx>
                <c:rich>
                  <a:bodyPr/>
                  <a:p>
                    <a:r>
                      <a:rPr b="0" sz="1000" spc="-1" strike="noStrike">
                        <a:solidFill>
                          <a:srgbClr val="000000"/>
                        </a:solidFill>
                        <a:latin typeface="Calibri"/>
                      </a:rPr>
                      <a:t>6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eparator>; </c:separator>
            </c:dLbl>
            <c:dLbl>
              <c:idx val="6"/>
              <c:txPr>
                <a:bodyPr wrap="square"/>
                <a:lstStyle/>
                <a:p>
                  <a:pPr>
                    <a:defRPr b="0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tx>
                <c:rich>
                  <a:bodyPr/>
                  <a:p>
                    <a:r>
                      <a:rPr b="0" sz="1000" spc="-1" strike="noStrike">
                        <a:solidFill>
                          <a:srgbClr val="000000"/>
                        </a:solidFill>
                        <a:latin typeface="Calibri"/>
                      </a:rPr>
                      <a:t>13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eparator>; </c:separator>
            </c:dLbl>
            <c:dLbl>
              <c:idx val="7"/>
              <c:txPr>
                <a:bodyPr wrap="square"/>
                <a:lstStyle/>
                <a:p>
                  <a:pPr>
                    <a:defRPr b="0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tx>
                <c:rich>
                  <a:bodyPr/>
                  <a:p>
                    <a:r>
                      <a:rPr b="0" sz="1000" spc="-1" strike="noStrike">
                        <a:solidFill>
                          <a:srgbClr val="000000"/>
                        </a:solidFill>
                        <a:latin typeface="Calibri"/>
                      </a:rPr>
                      <a:t>5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eparator>; </c:separator>
            </c:dLbl>
            <c:txPr>
              <a:bodyPr wrap="square"/>
              <a:lstStyle/>
              <a:p>
                <a:pPr>
                  <a:defRPr b="0" sz="1000" spc="-1" strike="noStrik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eparator>; </c:separator>
            <c:showLeaderLines val="1"/>
          </c:dLbls>
          <c:cat>
            <c:strRef>
              <c:f>categories</c:f>
              <c:strCache>
                <c:ptCount val="8"/>
                <c:pt idx="0">
                  <c:v>имеют одного ребёнка</c:v>
                </c:pt>
                <c:pt idx="1">
                  <c:v>имеют двоих детей</c:v>
                </c:pt>
                <c:pt idx="2">
                  <c:v>имеют более двух детей</c:v>
                </c:pt>
                <c:pt idx="3">
                  <c:v>полные семьи</c:v>
                </c:pt>
                <c:pt idx="4">
                  <c:v>неполные семьи</c:v>
                </c:pt>
                <c:pt idx="5">
                  <c:v>имеют высшее образование</c:v>
                </c:pt>
                <c:pt idx="6">
                  <c:v>оба родителя работают</c:v>
                </c:pt>
                <c:pt idx="7">
                  <c:v>один родитель работает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8"/>
                <c:pt idx="0">
                  <c:v>6</c:v>
                </c:pt>
                <c:pt idx="1">
                  <c:v>4</c:v>
                </c:pt>
                <c:pt idx="2">
                  <c:v>0</c:v>
                </c:pt>
                <c:pt idx="3">
                  <c:v>9</c:v>
                </c:pt>
                <c:pt idx="4">
                  <c:v>1</c:v>
                </c:pt>
                <c:pt idx="5">
                  <c:v>1</c:v>
                </c:pt>
                <c:pt idx="6">
                  <c:v>5</c:v>
                </c:pt>
                <c:pt idx="7">
                  <c:v>5</c:v>
                </c:pt>
              </c:numCache>
            </c:numRef>
          </c:val>
        </c:ser>
        <c:firstSliceAng val="0"/>
      </c:pieChart>
      <c:spPr>
        <a:noFill/>
        <a:ln w="0">
          <a:noFill/>
        </a:ln>
      </c:spPr>
    </c:plotArea>
    <c:legend>
      <c:legendPos val="b"/>
      <c:overlay val="0"/>
      <c:spPr>
        <a:noFill/>
        <a:ln w="0">
          <a:noFill/>
        </a:ln>
      </c:spPr>
      <c:txPr>
        <a:bodyPr/>
        <a:lstStyle/>
        <a:p>
          <a:pPr>
            <a:defRPr b="0" sz="900" spc="-1" strike="noStrike">
              <a:solidFill>
                <a:srgbClr val="595959"/>
              </a:solidFill>
              <a:latin typeface="Calibri"/>
            </a:defRPr>
          </a:pPr>
        </a:p>
      </c:txPr>
    </c:legend>
    <c:plotVisOnly val="1"/>
    <c:dispBlanksAs val="zero"/>
  </c:chart>
  <c:spPr>
    <a:solidFill>
      <a:srgbClr val="ffffff"/>
    </a:solidFill>
    <a:ln w="9360">
      <a:solidFill>
        <a:srgbClr val="d9d9d9"/>
      </a:solidFill>
      <a:round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C1C36D-3127-4267-A557-B43578E20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3189</TotalTime>
  <Application>LibreOffice/7.3.6.2$Linux_X86_64 LibreOffice_project/30$Build-2</Application>
  <AppVersion>15.0000</AppVersion>
  <Pages>16</Pages>
  <Words>3153</Words>
  <Characters>23745</Characters>
  <CharactersWithSpaces>26872</CharactersWithSpaces>
  <Paragraphs>489</Paragraphs>
  <Company>WIN7XP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2017-01-09T18:12:00Z</dcterms:created>
  <dc:creator>WIN7XP</dc:creator>
  <dc:description/>
  <dc:language>ru-RU</dc:language>
  <cp:lastModifiedBy/>
  <cp:lastPrinted>2024-03-19T14:47:00Z</cp:lastPrinted>
  <dcterms:modified xsi:type="dcterms:W3CDTF">2024-04-02T09:00:17Z</dcterms:modified>
  <cp:revision>82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